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360" w:lineRule="auto"/>
        <w:jc w:val="center"/>
        <w:rPr>
          <w:rFonts w:cs="宋体" w:asciiTheme="minorEastAsia" w:hAnsiTheme="minorEastAsia"/>
          <w:b/>
          <w:bCs/>
          <w:kern w:val="0"/>
          <w:sz w:val="30"/>
          <w:szCs w:val="30"/>
        </w:rPr>
      </w:pPr>
      <w:bookmarkStart w:id="0" w:name="OLE_LINK1"/>
      <w:r>
        <w:rPr>
          <w:rFonts w:hint="eastAsia" w:cs="宋体" w:asciiTheme="minorEastAsia" w:hAnsiTheme="minorEastAsia"/>
          <w:b/>
          <w:bCs/>
          <w:kern w:val="0"/>
          <w:sz w:val="30"/>
          <w:szCs w:val="30"/>
        </w:rPr>
        <w:t>大庆市第五医院POCT分析仪配套试剂采购项目</w:t>
      </w:r>
      <w:bookmarkEnd w:id="0"/>
      <w:r>
        <w:rPr>
          <w:rFonts w:hint="eastAsia" w:cs="宋体" w:asciiTheme="minorEastAsia" w:hAnsiTheme="minorEastAsia"/>
          <w:b/>
          <w:bCs/>
          <w:kern w:val="0"/>
          <w:sz w:val="30"/>
          <w:szCs w:val="30"/>
        </w:rPr>
        <w:t>招标公告</w:t>
      </w:r>
    </w:p>
    <w:p>
      <w:pPr>
        <w:widowControl/>
        <w:spacing w:line="480" w:lineRule="exact"/>
        <w:jc w:val="left"/>
        <w:rPr>
          <w:rFonts w:hint="default" w:eastAsia="宋体" w:asciiTheme="minorEastAsia" w:hAnsiTheme="minorEastAsia"/>
          <w:b/>
          <w:bCs/>
          <w:lang w:val="en-US" w:eastAsia="zh-CN"/>
        </w:rPr>
      </w:pPr>
      <w:r>
        <w:rPr>
          <w:rFonts w:hint="eastAsia" w:cs="宋体" w:asciiTheme="minorEastAsia" w:hAnsiTheme="minorEastAsia"/>
          <w:b/>
          <w:bCs/>
          <w:kern w:val="0"/>
          <w:sz w:val="24"/>
        </w:rPr>
        <w:t>一、项目编号:</w:t>
      </w:r>
      <w:r>
        <w:rPr>
          <w:rFonts w:hint="eastAsia" w:cs="宋体" w:asciiTheme="minorEastAsia" w:hAnsiTheme="minorEastAsia"/>
          <w:bCs/>
          <w:kern w:val="0"/>
          <w:sz w:val="24"/>
        </w:rPr>
        <w:t xml:space="preserve"> </w:t>
      </w:r>
      <w:r>
        <w:rPr>
          <w:rFonts w:hint="eastAsia" w:cs="宋体" w:asciiTheme="minorEastAsia" w:hAnsiTheme="minorEastAsia"/>
          <w:bCs/>
          <w:kern w:val="0"/>
          <w:sz w:val="24"/>
          <w:lang w:val="en-US" w:eastAsia="zh-CN"/>
        </w:rPr>
        <w:t>2026024</w:t>
      </w:r>
    </w:p>
    <w:p>
      <w:pPr>
        <w:widowControl/>
        <w:spacing w:line="480" w:lineRule="exact"/>
        <w:jc w:val="left"/>
        <w:rPr>
          <w:rFonts w:cs="宋体" w:asciiTheme="minorEastAsia" w:hAnsiTheme="minorEastAsia"/>
          <w:bCs/>
          <w:kern w:val="0"/>
          <w:sz w:val="24"/>
        </w:rPr>
      </w:pPr>
      <w:r>
        <w:rPr>
          <w:rFonts w:hint="eastAsia" w:cs="宋体" w:asciiTheme="minorEastAsia" w:hAnsiTheme="minorEastAsia"/>
          <w:b/>
          <w:bCs/>
          <w:kern w:val="0"/>
          <w:sz w:val="24"/>
        </w:rPr>
        <w:t>二、项目名称:</w:t>
      </w:r>
      <w:r>
        <w:rPr>
          <w:rFonts w:hint="eastAsia"/>
        </w:rPr>
        <w:t xml:space="preserve"> </w:t>
      </w:r>
      <w:r>
        <w:rPr>
          <w:rFonts w:hint="eastAsia" w:cs="宋体" w:asciiTheme="minorEastAsia" w:hAnsiTheme="minorEastAsia"/>
          <w:bCs/>
          <w:kern w:val="0"/>
          <w:sz w:val="24"/>
        </w:rPr>
        <w:t>大庆市第五医院POCT分析仪配套试剂采购项目</w:t>
      </w:r>
    </w:p>
    <w:p>
      <w:pPr>
        <w:widowControl/>
        <w:spacing w:line="480" w:lineRule="exact"/>
        <w:jc w:val="left"/>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b/>
          <w:bCs/>
          <w:kern w:val="0"/>
          <w:sz w:val="24"/>
        </w:rPr>
        <w:t>三、采购类型:</w:t>
      </w:r>
      <w:r>
        <w:rPr>
          <w:rFonts w:hint="eastAsia" w:cs="宋体" w:asciiTheme="minorEastAsia" w:hAnsiTheme="minorEastAsia"/>
          <w:kern w:val="0"/>
          <w:sz w:val="24"/>
        </w:rPr>
        <w:t>院内</w:t>
      </w:r>
      <w:r>
        <w:rPr>
          <w:rFonts w:hint="eastAsia" w:cs="宋体" w:asciiTheme="minorEastAsia" w:hAnsiTheme="minorEastAsia"/>
          <w:bCs/>
          <w:kern w:val="0"/>
          <w:sz w:val="24"/>
        </w:rPr>
        <w:t>竞争性谈判（投标报价所有单品必须同比例下浮）</w:t>
      </w:r>
    </w:p>
    <w:p>
      <w:pPr>
        <w:pStyle w:val="8"/>
        <w:spacing w:before="0" w:beforeAutospacing="0" w:after="0" w:afterAutospacing="0" w:line="480" w:lineRule="exact"/>
        <w:rPr>
          <w:rFonts w:asciiTheme="minorEastAsia" w:hAnsiTheme="minorEastAsia"/>
          <w:b/>
          <w:bCs/>
          <w:color w:val="000000" w:themeColor="text1"/>
          <w14:textFill>
            <w14:solidFill>
              <w14:schemeClr w14:val="tx1"/>
            </w14:solidFill>
          </w14:textFill>
        </w:rPr>
      </w:pPr>
      <w:r>
        <w:rPr>
          <w:rFonts w:hint="eastAsia" w:asciiTheme="minorEastAsia" w:hAnsiTheme="minorEastAsia"/>
          <w:b/>
          <w:bCs/>
          <w:color w:val="000000" w:themeColor="text1"/>
          <w14:textFill>
            <w14:solidFill>
              <w14:schemeClr w14:val="tx1"/>
            </w14:solidFill>
          </w14:textFill>
        </w:rPr>
        <w:t>四、预算金额及</w:t>
      </w:r>
      <w:r>
        <w:rPr>
          <w:rFonts w:hint="eastAsia" w:asciiTheme="minorEastAsia" w:hAnsiTheme="minorEastAsia"/>
          <w:b/>
          <w:bCs/>
        </w:rPr>
        <w:t>采购需求</w:t>
      </w:r>
      <w:r>
        <w:rPr>
          <w:rFonts w:hint="eastAsia" w:asciiTheme="minorEastAsia" w:hAnsiTheme="minorEastAsia"/>
          <w:b/>
          <w:bCs/>
          <w:color w:val="000000" w:themeColor="text1"/>
          <w14:textFill>
            <w14:solidFill>
              <w14:schemeClr w14:val="tx1"/>
            </w14:solidFill>
          </w14:textFill>
        </w:rPr>
        <w:t>：</w:t>
      </w:r>
    </w:p>
    <w:p>
      <w:pPr>
        <w:pStyle w:val="8"/>
        <w:spacing w:before="0" w:beforeAutospacing="0" w:after="0" w:afterAutospacing="0" w:line="480" w:lineRule="exact"/>
        <w:ind w:firstLine="480" w:firstLineChars="200"/>
        <w:rPr>
          <w:rFonts w:asciiTheme="minorEastAsia" w:hAnsiTheme="minorEastAsia"/>
        </w:rPr>
      </w:pPr>
      <w:r>
        <w:rPr>
          <w:rFonts w:hint="eastAsia" w:asciiTheme="minorEastAsia" w:hAnsiTheme="minorEastAsia"/>
          <w:bCs/>
          <w:color w:val="000000" w:themeColor="text1"/>
          <w14:textFill>
            <w14:solidFill>
              <w14:schemeClr w14:val="tx1"/>
            </w14:solidFill>
          </w14:textFill>
        </w:rPr>
        <w:t>见第八项报价单。</w:t>
      </w:r>
      <w:r>
        <w:rPr>
          <w:rFonts w:hint="eastAsia"/>
        </w:rPr>
        <w:t>（参与投标供应商投标报价单项超出预算价格的投标无效</w:t>
      </w:r>
      <w:r>
        <w:rPr>
          <w:rFonts w:hint="eastAsia"/>
          <w:szCs w:val="21"/>
        </w:rPr>
        <w:t>。</w:t>
      </w:r>
      <w:r>
        <w:rPr>
          <w:rFonts w:hint="eastAsia"/>
        </w:rPr>
        <w:t>）</w:t>
      </w:r>
    </w:p>
    <w:p>
      <w:pPr>
        <w:pStyle w:val="8"/>
        <w:spacing w:before="0" w:beforeAutospacing="0" w:after="0" w:afterAutospacing="0" w:line="480" w:lineRule="exact"/>
        <w:rPr>
          <w:rFonts w:asciiTheme="minorEastAsia" w:hAnsiTheme="minorEastAsia"/>
          <w:bCs/>
        </w:rPr>
      </w:pPr>
      <w:r>
        <w:rPr>
          <w:rFonts w:hint="eastAsia" w:asciiTheme="minorEastAsia" w:hAnsiTheme="minorEastAsia"/>
          <w:b/>
          <w:bCs/>
        </w:rPr>
        <w:t>五、公告期限：</w:t>
      </w:r>
      <w:r>
        <w:rPr>
          <w:rFonts w:hint="eastAsia" w:asciiTheme="minorEastAsia" w:hAnsiTheme="minorEastAsia"/>
          <w:bCs/>
        </w:rPr>
        <w:t>202</w:t>
      </w:r>
      <w:r>
        <w:rPr>
          <w:rFonts w:hint="eastAsia" w:asciiTheme="minorEastAsia" w:hAnsiTheme="minorEastAsia"/>
          <w:bCs/>
          <w:lang w:val="en-US" w:eastAsia="zh-CN"/>
        </w:rPr>
        <w:t>6</w:t>
      </w:r>
      <w:r>
        <w:rPr>
          <w:rFonts w:hint="eastAsia" w:asciiTheme="minorEastAsia" w:hAnsiTheme="minorEastAsia"/>
          <w:bCs/>
        </w:rPr>
        <w:t>年</w:t>
      </w:r>
      <w:r>
        <w:rPr>
          <w:rFonts w:hint="eastAsia" w:asciiTheme="minorEastAsia" w:hAnsiTheme="minorEastAsia"/>
          <w:bCs/>
          <w:lang w:val="en-US" w:eastAsia="zh-CN"/>
        </w:rPr>
        <w:t>9</w:t>
      </w:r>
      <w:r>
        <w:rPr>
          <w:rFonts w:hint="eastAsia" w:asciiTheme="minorEastAsia" w:hAnsiTheme="minorEastAsia"/>
          <w:bCs/>
        </w:rPr>
        <w:t>月</w:t>
      </w:r>
      <w:r>
        <w:rPr>
          <w:rFonts w:hint="eastAsia" w:asciiTheme="minorEastAsia" w:hAnsiTheme="minorEastAsia"/>
          <w:bCs/>
          <w:lang w:val="en-US" w:eastAsia="zh-CN"/>
        </w:rPr>
        <w:t>18</w:t>
      </w:r>
      <w:r>
        <w:rPr>
          <w:rFonts w:hint="eastAsia" w:asciiTheme="minorEastAsia" w:hAnsiTheme="minorEastAsia"/>
          <w:bCs/>
        </w:rPr>
        <w:t>日至202</w:t>
      </w:r>
      <w:r>
        <w:rPr>
          <w:rFonts w:hint="eastAsia" w:asciiTheme="minorEastAsia" w:hAnsiTheme="minorEastAsia"/>
          <w:bCs/>
          <w:lang w:val="en-US" w:eastAsia="zh-CN"/>
        </w:rPr>
        <w:t>6</w:t>
      </w:r>
      <w:r>
        <w:rPr>
          <w:rFonts w:hint="eastAsia" w:asciiTheme="minorEastAsia" w:hAnsiTheme="minorEastAsia"/>
          <w:bCs/>
        </w:rPr>
        <w:t>年</w:t>
      </w:r>
      <w:r>
        <w:rPr>
          <w:rFonts w:hint="eastAsia" w:asciiTheme="minorEastAsia" w:hAnsiTheme="minorEastAsia"/>
          <w:bCs/>
          <w:lang w:val="en-US" w:eastAsia="zh-CN"/>
        </w:rPr>
        <w:t>9</w:t>
      </w:r>
      <w:r>
        <w:rPr>
          <w:rFonts w:hint="eastAsia" w:asciiTheme="minorEastAsia" w:hAnsiTheme="minorEastAsia"/>
          <w:bCs/>
        </w:rPr>
        <w:t>月</w:t>
      </w:r>
      <w:r>
        <w:rPr>
          <w:rFonts w:hint="eastAsia" w:asciiTheme="minorEastAsia" w:hAnsiTheme="minorEastAsia"/>
          <w:bCs/>
          <w:lang w:val="en-US" w:eastAsia="zh-CN"/>
        </w:rPr>
        <w:t>21</w:t>
      </w:r>
      <w:r>
        <w:rPr>
          <w:rFonts w:hint="eastAsia" w:asciiTheme="minorEastAsia" w:hAnsiTheme="minorEastAsia"/>
          <w:bCs/>
        </w:rPr>
        <w:t>日止</w:t>
      </w:r>
    </w:p>
    <w:p>
      <w:pPr>
        <w:pStyle w:val="8"/>
        <w:spacing w:before="0" w:beforeAutospacing="0" w:after="0" w:afterAutospacing="0" w:line="480" w:lineRule="exact"/>
        <w:rPr>
          <w:rFonts w:asciiTheme="minorEastAsia" w:hAnsiTheme="minorEastAsia"/>
        </w:rPr>
      </w:pPr>
      <w:r>
        <w:rPr>
          <w:rFonts w:hint="eastAsia" w:asciiTheme="minorEastAsia" w:hAnsiTheme="minorEastAsia"/>
          <w:b/>
          <w:bCs/>
        </w:rPr>
        <w:t>六、供应商须知</w:t>
      </w:r>
    </w:p>
    <w:p>
      <w:pPr>
        <w:pStyle w:val="8"/>
        <w:snapToGrid w:val="0"/>
        <w:spacing w:before="0" w:beforeAutospacing="0" w:after="0" w:afterAutospacing="0" w:line="360" w:lineRule="exact"/>
        <w:rPr>
          <w:rFonts w:asciiTheme="minorEastAsia" w:hAnsiTheme="minorEastAsia"/>
          <w:b/>
          <w:bCs/>
        </w:rPr>
      </w:pPr>
      <w:r>
        <w:rPr>
          <w:rFonts w:hint="eastAsia" w:asciiTheme="minorEastAsia" w:hAnsiTheme="minorEastAsia"/>
        </w:rPr>
        <w:t>以下条款为必须满足条件，在标书中体现，否则予以废标：</w:t>
      </w:r>
    </w:p>
    <w:p>
      <w:pPr>
        <w:pStyle w:val="8"/>
        <w:snapToGrid w:val="0"/>
        <w:spacing w:before="0" w:beforeAutospacing="0" w:after="0" w:afterAutospacing="0" w:line="360" w:lineRule="exact"/>
        <w:rPr>
          <w:rFonts w:asciiTheme="minorEastAsia" w:hAnsiTheme="minorEastAsia"/>
        </w:rPr>
      </w:pPr>
      <w:r>
        <w:rPr>
          <w:rFonts w:hint="eastAsia" w:asciiTheme="minorEastAsia" w:hAnsiTheme="minorEastAsia"/>
        </w:rPr>
        <w:t xml:space="preserve">1、提供有效的独立企业法人营业执照副本内页。 </w:t>
      </w:r>
    </w:p>
    <w:p>
      <w:pPr>
        <w:pStyle w:val="8"/>
        <w:snapToGrid w:val="0"/>
        <w:spacing w:before="0" w:beforeAutospacing="0" w:after="0" w:afterAutospacing="0" w:line="360" w:lineRule="exact"/>
        <w:rPr>
          <w:rFonts w:asciiTheme="minorEastAsia" w:hAnsiTheme="minorEastAsia"/>
        </w:rPr>
      </w:pPr>
      <w:r>
        <w:rPr>
          <w:rFonts w:hint="eastAsia" w:asciiTheme="minorEastAsia" w:hAnsiTheme="minorEastAsia"/>
        </w:rPr>
        <w:t>2、提供有效的税务登记证</w:t>
      </w:r>
      <w:r>
        <w:rPr>
          <w:rFonts w:hint="eastAsia" w:asciiTheme="minorEastAsia" w:hAnsiTheme="minorEastAsia"/>
          <w:color w:val="000000"/>
          <w:shd w:val="clear" w:color="auto" w:fill="FFFFFF"/>
        </w:rPr>
        <w:t>。</w:t>
      </w:r>
    </w:p>
    <w:p>
      <w:pPr>
        <w:snapToGrid w:val="0"/>
        <w:spacing w:line="360" w:lineRule="exact"/>
        <w:rPr>
          <w:rFonts w:cs="宋体" w:asciiTheme="minorEastAsia" w:hAnsiTheme="minorEastAsia"/>
          <w:color w:val="000000"/>
          <w:kern w:val="0"/>
          <w:sz w:val="24"/>
          <w:shd w:val="clear" w:color="auto" w:fill="FFFFFF"/>
        </w:rPr>
      </w:pPr>
      <w:r>
        <w:rPr>
          <w:rFonts w:hint="eastAsia" w:cs="宋体" w:asciiTheme="minorEastAsia" w:hAnsiTheme="minorEastAsia"/>
          <w:color w:val="000000"/>
          <w:kern w:val="0"/>
          <w:sz w:val="24"/>
          <w:shd w:val="clear" w:color="auto" w:fill="FFFFFF"/>
        </w:rPr>
        <w:t>3、需提供参与投标供应商的有效的经营许可证复印件加盖公章。</w:t>
      </w:r>
    </w:p>
    <w:p>
      <w:pPr>
        <w:snapToGrid w:val="0"/>
        <w:spacing w:line="360" w:lineRule="exact"/>
        <w:rPr>
          <w:rFonts w:cs="宋体" w:asciiTheme="minorEastAsia" w:hAnsiTheme="minorEastAsia"/>
          <w:color w:val="000000"/>
          <w:kern w:val="0"/>
          <w:sz w:val="24"/>
          <w:shd w:val="clear" w:color="auto" w:fill="FFFFFF"/>
        </w:rPr>
      </w:pPr>
      <w:r>
        <w:rPr>
          <w:rFonts w:hint="eastAsia" w:cs="宋体" w:asciiTheme="minorEastAsia" w:hAnsiTheme="minorEastAsia"/>
          <w:color w:val="000000"/>
          <w:kern w:val="0"/>
          <w:sz w:val="24"/>
          <w:shd w:val="clear" w:color="auto" w:fill="FFFFFF"/>
        </w:rPr>
        <w:t>4、法定代表人及</w:t>
      </w:r>
      <w:r>
        <w:rPr>
          <w:rFonts w:hint="eastAsia" w:cs="宋体" w:asciiTheme="minorEastAsia" w:hAnsiTheme="minorEastAsia"/>
          <w:kern w:val="0"/>
          <w:sz w:val="24"/>
          <w:shd w:val="clear" w:color="auto" w:fill="FFFFFF"/>
        </w:rPr>
        <w:t>授权</w:t>
      </w:r>
      <w:r>
        <w:rPr>
          <w:rFonts w:hint="eastAsia" w:cs="宋体" w:asciiTheme="minorEastAsia" w:hAnsiTheme="minorEastAsia"/>
          <w:color w:val="000000"/>
          <w:kern w:val="0"/>
          <w:sz w:val="24"/>
          <w:shd w:val="clear" w:color="auto" w:fill="FFFFFF"/>
        </w:rPr>
        <w:t>代表身份证明（身份证正反面复印件）加盖公章。</w:t>
      </w:r>
    </w:p>
    <w:p>
      <w:pPr>
        <w:snapToGrid w:val="0"/>
        <w:spacing w:line="360" w:lineRule="exact"/>
        <w:rPr>
          <w:rFonts w:cs="宋体" w:asciiTheme="minorEastAsia" w:hAnsiTheme="minorEastAsia"/>
          <w:color w:val="000000"/>
          <w:kern w:val="0"/>
          <w:sz w:val="24"/>
          <w:shd w:val="clear" w:color="auto" w:fill="FFFFFF"/>
        </w:rPr>
      </w:pPr>
      <w:r>
        <w:rPr>
          <w:rFonts w:hint="eastAsia" w:cs="宋体" w:asciiTheme="minorEastAsia" w:hAnsiTheme="minorEastAsia"/>
          <w:color w:val="000000"/>
          <w:kern w:val="0"/>
          <w:sz w:val="24"/>
          <w:shd w:val="clear" w:color="auto" w:fill="FFFFFF"/>
        </w:rPr>
        <w:t>5、法定代表人授权书（法定代表人签字并加盖公章）。</w:t>
      </w:r>
    </w:p>
    <w:p>
      <w:pPr>
        <w:snapToGrid w:val="0"/>
        <w:spacing w:line="360" w:lineRule="exact"/>
        <w:rPr>
          <w:rFonts w:cs="宋体" w:asciiTheme="minorEastAsia" w:hAnsiTheme="minorEastAsia"/>
          <w:color w:val="000000"/>
          <w:kern w:val="0"/>
          <w:sz w:val="24"/>
          <w:shd w:val="clear" w:color="auto" w:fill="FFFFFF"/>
        </w:rPr>
      </w:pPr>
      <w:r>
        <w:rPr>
          <w:rFonts w:hint="eastAsia" w:cs="宋体" w:asciiTheme="minorEastAsia" w:hAnsiTheme="minorEastAsia"/>
          <w:color w:val="000000"/>
          <w:kern w:val="0"/>
          <w:sz w:val="24"/>
          <w:shd w:val="clear" w:color="auto" w:fill="FFFFFF"/>
        </w:rPr>
        <w:t>6、本项目不接受电话报名。</w:t>
      </w:r>
    </w:p>
    <w:p>
      <w:pPr>
        <w:snapToGrid w:val="0"/>
        <w:spacing w:line="360" w:lineRule="exact"/>
        <w:rPr>
          <w:rFonts w:cs="宋体" w:asciiTheme="minorEastAsia" w:hAnsiTheme="minorEastAsia"/>
          <w:color w:val="000000"/>
          <w:kern w:val="0"/>
          <w:sz w:val="24"/>
          <w:shd w:val="clear" w:color="auto" w:fill="FFFFFF"/>
        </w:rPr>
      </w:pPr>
      <w:r>
        <w:rPr>
          <w:rFonts w:hint="eastAsia" w:cs="宋体" w:asciiTheme="minorEastAsia" w:hAnsiTheme="minorEastAsia"/>
          <w:color w:val="000000"/>
          <w:kern w:val="0"/>
          <w:sz w:val="24"/>
          <w:shd w:val="clear" w:color="auto" w:fill="FFFFFF"/>
        </w:rPr>
        <w:t>7、不接受联合体参与投标。</w:t>
      </w:r>
    </w:p>
    <w:p>
      <w:pPr>
        <w:snapToGrid w:val="0"/>
        <w:spacing w:line="360" w:lineRule="exact"/>
        <w:rPr>
          <w:rFonts w:asciiTheme="minorEastAsia" w:hAnsiTheme="minorEastAsia"/>
          <w:sz w:val="24"/>
        </w:rPr>
      </w:pPr>
      <w:r>
        <w:rPr>
          <w:rFonts w:hint="eastAsia" w:asciiTheme="minorEastAsia" w:hAnsiTheme="minorEastAsia"/>
          <w:sz w:val="24"/>
        </w:rPr>
        <w:t>8、生产厂家直接参与本项目投标的，需提供生产资格证明文件。经销商参与投标的，需提供所投产品生产厂家出具的经销代理授权书复印件并加盖生产厂家公章。</w:t>
      </w:r>
    </w:p>
    <w:p>
      <w:pPr>
        <w:snapToGrid w:val="0"/>
        <w:spacing w:line="360" w:lineRule="exact"/>
        <w:rPr>
          <w:rFonts w:asciiTheme="minorEastAsia" w:hAnsiTheme="minorEastAsia"/>
          <w:sz w:val="24"/>
        </w:rPr>
      </w:pPr>
      <w:r>
        <w:rPr>
          <w:rFonts w:hint="eastAsia" w:asciiTheme="minorEastAsia" w:hAnsiTheme="minorEastAsia"/>
          <w:sz w:val="24"/>
        </w:rPr>
        <w:t>9、需提供所投产品生产厂家或区域代理商出具的针对本项目售后服务承诺及质量保证协议并加盖生产厂家或供应商公章。</w:t>
      </w:r>
    </w:p>
    <w:p>
      <w:pPr>
        <w:snapToGrid w:val="0"/>
        <w:spacing w:line="360" w:lineRule="exact"/>
        <w:rPr>
          <w:rFonts w:ascii="宋体" w:hAnsi="宋体" w:cs="宋体"/>
          <w:sz w:val="24"/>
        </w:rPr>
      </w:pPr>
      <w:r>
        <w:rPr>
          <w:rFonts w:hint="eastAsia" w:ascii="宋体" w:hAnsi="宋体" w:cs="宋体"/>
          <w:sz w:val="24"/>
        </w:rPr>
        <w:t>10、单位负责人为同一人或者隶属同一集团公司内部存在直接、间接控股、关联管理关系的所有生产商，只能对唯一一家供应商授权。</w:t>
      </w:r>
    </w:p>
    <w:p>
      <w:pPr>
        <w:snapToGrid w:val="0"/>
        <w:spacing w:line="360" w:lineRule="exact"/>
        <w:rPr>
          <w:rFonts w:ascii="宋体" w:hAnsi="宋体" w:cs="宋体"/>
          <w:sz w:val="24"/>
        </w:rPr>
      </w:pPr>
      <w:r>
        <w:rPr>
          <w:rFonts w:hint="eastAsia" w:ascii="宋体" w:hAnsi="宋体" w:cs="宋体"/>
          <w:sz w:val="24"/>
        </w:rPr>
        <w:t>11、单位负责人为同一人或者存在直接、间接控股、关联管理关系的不同供应商，只能有一家参加同一项目下的采购活动。</w:t>
      </w:r>
    </w:p>
    <w:p>
      <w:pPr>
        <w:snapToGrid w:val="0"/>
        <w:spacing w:line="360" w:lineRule="exact"/>
        <w:rPr>
          <w:rFonts w:ascii="宋体" w:hAnsi="宋体" w:cs="宋体"/>
          <w:sz w:val="24"/>
        </w:rPr>
      </w:pPr>
      <w:r>
        <w:rPr>
          <w:rFonts w:hint="eastAsia" w:ascii="宋体" w:hAnsi="宋体" w:cs="宋体"/>
          <w:sz w:val="24"/>
        </w:rPr>
        <w:t>12、投标方所投标的医用耗材（集采产品及非医用耗材除外）必须在黑龙江省医疗保障信息平台挂网，投标时要注明所投医用耗材的国家医保分类与代码，国家医保医用耗材分类范围外的医用耗材产品需提供说明，以便中标后医院向医保部门备案，投标方必须为厂家授权的配送商并可在平台上查询，中标价格不得高于挂网价格，否则投标无效。</w:t>
      </w:r>
    </w:p>
    <w:p>
      <w:pPr>
        <w:snapToGrid w:val="0"/>
        <w:spacing w:line="360" w:lineRule="exact"/>
        <w:rPr>
          <w:rFonts w:ascii="宋体" w:hAnsi="宋体" w:cs="宋体"/>
          <w:sz w:val="24"/>
        </w:rPr>
      </w:pPr>
      <w:r>
        <w:rPr>
          <w:rFonts w:hint="eastAsia" w:ascii="宋体" w:hAnsi="宋体" w:cs="宋体"/>
          <w:sz w:val="24"/>
        </w:rPr>
        <w:t>13、具体参数见附件。</w:t>
      </w:r>
    </w:p>
    <w:p>
      <w:pPr>
        <w:pStyle w:val="8"/>
        <w:spacing w:before="0" w:beforeAutospacing="0" w:after="0" w:afterAutospacing="0" w:line="400" w:lineRule="exact"/>
        <w:rPr>
          <w:rFonts w:asciiTheme="minorEastAsia" w:hAnsiTheme="minorEastAsia"/>
          <w:b/>
          <w:bCs/>
          <w:color w:val="000000" w:themeColor="text1"/>
          <w14:textFill>
            <w14:solidFill>
              <w14:schemeClr w14:val="tx1"/>
            </w14:solidFill>
          </w14:textFill>
        </w:rPr>
      </w:pPr>
      <w:r>
        <w:rPr>
          <w:rFonts w:hint="eastAsia" w:asciiTheme="minorEastAsia" w:hAnsiTheme="minorEastAsia"/>
          <w:b/>
          <w:bCs/>
          <w:color w:val="000000" w:themeColor="text1"/>
          <w14:textFill>
            <w14:solidFill>
              <w14:schemeClr w14:val="tx1"/>
            </w14:solidFill>
          </w14:textFill>
        </w:rPr>
        <w:t>七、报名时间及地点</w:t>
      </w:r>
    </w:p>
    <w:p>
      <w:pPr>
        <w:pStyle w:val="8"/>
        <w:spacing w:before="0" w:beforeAutospacing="0" w:after="0" w:afterAutospacing="0" w:line="400" w:lineRule="exact"/>
        <w:ind w:firstLine="480" w:firstLineChars="200"/>
        <w:rPr>
          <w:rFonts w:asciiTheme="minorEastAsia" w:hAnsiTheme="minorEastAsia"/>
        </w:rPr>
      </w:pPr>
      <w:r>
        <w:rPr>
          <w:rFonts w:hint="eastAsia" w:asciiTheme="minorEastAsia" w:hAnsiTheme="minorEastAsia"/>
        </w:rPr>
        <w:t>投标人于202</w:t>
      </w:r>
      <w:r>
        <w:rPr>
          <w:rFonts w:hint="eastAsia" w:asciiTheme="minorEastAsia" w:hAnsiTheme="minorEastAsia"/>
          <w:lang w:val="en-US" w:eastAsia="zh-CN"/>
        </w:rPr>
        <w:t>6</w:t>
      </w:r>
      <w:r>
        <w:rPr>
          <w:rFonts w:hint="eastAsia" w:asciiTheme="minorEastAsia" w:hAnsiTheme="minorEastAsia"/>
        </w:rPr>
        <w:t>年</w:t>
      </w:r>
      <w:r>
        <w:rPr>
          <w:rFonts w:hint="eastAsia" w:asciiTheme="minorEastAsia" w:hAnsiTheme="minorEastAsia"/>
          <w:lang w:val="en-US" w:eastAsia="zh-CN"/>
        </w:rPr>
        <w:t>9</w:t>
      </w:r>
      <w:r>
        <w:rPr>
          <w:rFonts w:hint="eastAsia" w:asciiTheme="minorEastAsia" w:hAnsiTheme="minorEastAsia"/>
        </w:rPr>
        <w:t>月</w:t>
      </w:r>
      <w:r>
        <w:rPr>
          <w:rFonts w:hint="eastAsia" w:asciiTheme="minorEastAsia" w:hAnsiTheme="minorEastAsia"/>
          <w:lang w:val="en-US" w:eastAsia="zh-CN"/>
        </w:rPr>
        <w:t>21</w:t>
      </w:r>
      <w:r>
        <w:rPr>
          <w:rFonts w:hint="eastAsia" w:asciiTheme="minorEastAsia" w:hAnsiTheme="minorEastAsia"/>
        </w:rPr>
        <w:t>日</w:t>
      </w:r>
      <w:r>
        <w:rPr>
          <w:rFonts w:hint="eastAsia" w:asciiTheme="minorEastAsia" w:hAnsiTheme="minorEastAsia"/>
          <w:lang w:val="en-US" w:eastAsia="zh-CN"/>
        </w:rPr>
        <w:t>16</w:t>
      </w:r>
      <w:r>
        <w:rPr>
          <w:rFonts w:hint="eastAsia" w:asciiTheme="minorEastAsia" w:hAnsiTheme="minorEastAsia"/>
        </w:rPr>
        <w:t>时前到大庆市第五医院二部机关楼一楼109室递交以下材料：</w:t>
      </w:r>
    </w:p>
    <w:p>
      <w:pPr>
        <w:pStyle w:val="8"/>
        <w:numPr>
          <w:ilvl w:val="0"/>
          <w:numId w:val="1"/>
        </w:numPr>
        <w:spacing w:before="0" w:beforeAutospacing="0" w:after="0" w:afterAutospacing="0" w:line="360" w:lineRule="auto"/>
        <w:rPr>
          <w:rFonts w:asciiTheme="minorEastAsia" w:hAnsiTheme="minorEastAsia"/>
        </w:rPr>
      </w:pPr>
      <w:r>
        <w:rPr>
          <w:rFonts w:hint="eastAsia" w:asciiTheme="minorEastAsia" w:hAnsiTheme="minorEastAsia"/>
        </w:rPr>
        <w:t>供应</w:t>
      </w:r>
      <w:bookmarkStart w:id="1" w:name="_GoBack"/>
      <w:bookmarkEnd w:id="1"/>
      <w:r>
        <w:rPr>
          <w:rFonts w:hint="eastAsia" w:asciiTheme="minorEastAsia" w:hAnsiTheme="minorEastAsia"/>
        </w:rPr>
        <w:t>商资质（原件）</w:t>
      </w:r>
    </w:p>
    <w:p>
      <w:pPr>
        <w:pStyle w:val="8"/>
        <w:numPr>
          <w:ilvl w:val="0"/>
          <w:numId w:val="1"/>
        </w:numPr>
        <w:spacing w:before="0" w:beforeAutospacing="0" w:after="0" w:afterAutospacing="0" w:line="360" w:lineRule="auto"/>
        <w:rPr>
          <w:rFonts w:asciiTheme="minorEastAsia" w:hAnsiTheme="minorEastAsia"/>
        </w:rPr>
      </w:pPr>
      <w:r>
        <w:rPr>
          <w:rFonts w:hint="eastAsia" w:asciiTheme="minorEastAsia" w:hAnsiTheme="minorEastAsia"/>
        </w:rPr>
        <w:t>生产厂家资质（复印件）</w:t>
      </w:r>
    </w:p>
    <w:p>
      <w:pPr>
        <w:pStyle w:val="8"/>
        <w:numPr>
          <w:ilvl w:val="0"/>
          <w:numId w:val="1"/>
        </w:numPr>
        <w:spacing w:before="0" w:beforeAutospacing="0" w:after="0" w:afterAutospacing="0" w:line="480" w:lineRule="exact"/>
        <w:rPr>
          <w:rFonts w:hint="eastAsia" w:eastAsia="宋体" w:asciiTheme="minorEastAsia" w:hAnsiTheme="minorEastAsia"/>
          <w:lang w:eastAsia="zh-CN"/>
        </w:rPr>
      </w:pPr>
      <w:r>
        <w:rPr>
          <w:rFonts w:hint="eastAsia" w:cs="华文仿宋" w:asciiTheme="minorEastAsia" w:hAnsiTheme="minorEastAsia"/>
          <w:color w:val="000000"/>
        </w:rPr>
        <w:t>生产企业出具的投标产品代理授权书（原件）</w:t>
      </w:r>
    </w:p>
    <w:p>
      <w:pPr>
        <w:pStyle w:val="8"/>
        <w:numPr>
          <w:ilvl w:val="0"/>
          <w:numId w:val="0"/>
        </w:numPr>
        <w:spacing w:before="0" w:beforeAutospacing="0" w:after="0" w:afterAutospacing="0" w:line="480" w:lineRule="exact"/>
        <w:rPr>
          <w:rFonts w:hint="eastAsia" w:eastAsia="宋体" w:asciiTheme="minorEastAsia" w:hAnsiTheme="minorEastAsia"/>
          <w:lang w:eastAsia="zh-CN"/>
        </w:rPr>
      </w:pPr>
      <w:r>
        <w:rPr>
          <w:rFonts w:hint="eastAsia" w:cs="华文仿宋" w:asciiTheme="minorEastAsia" w:hAnsiTheme="minorEastAsia"/>
          <w:color w:val="000000"/>
          <w:lang w:eastAsia="zh-CN"/>
        </w:rPr>
        <w:t>联系人：周卫洁</w:t>
      </w:r>
    </w:p>
    <w:p>
      <w:pPr>
        <w:pStyle w:val="8"/>
        <w:spacing w:before="0" w:beforeAutospacing="0" w:after="0" w:afterAutospacing="0" w:line="480" w:lineRule="exact"/>
        <w:rPr>
          <w:rFonts w:asciiTheme="minorEastAsia" w:hAnsiTheme="minorEastAsia"/>
        </w:rPr>
      </w:pPr>
      <w:r>
        <w:rPr>
          <w:rFonts w:hint="eastAsia" w:asciiTheme="minorEastAsia" w:hAnsiTheme="minorEastAsia"/>
          <w:lang w:val="en-US" w:eastAsia="zh-CN"/>
        </w:rPr>
        <w:t>联系</w:t>
      </w:r>
      <w:r>
        <w:rPr>
          <w:rFonts w:hint="eastAsia" w:asciiTheme="minorEastAsia" w:hAnsiTheme="minorEastAsia"/>
        </w:rPr>
        <w:t>电话：0459-6705858</w:t>
      </w:r>
    </w:p>
    <w:p>
      <w:pPr>
        <w:pStyle w:val="8"/>
        <w:spacing w:before="0" w:beforeAutospacing="0" w:after="0" w:afterAutospacing="0" w:line="480" w:lineRule="exact"/>
        <w:rPr>
          <w:rFonts w:asciiTheme="minorEastAsia" w:hAnsiTheme="minorEastAsia"/>
          <w:b/>
        </w:rPr>
      </w:pPr>
      <w:r>
        <w:rPr>
          <w:rFonts w:hint="eastAsia" w:asciiTheme="minorEastAsia" w:hAnsiTheme="minorEastAsia"/>
          <w:b/>
        </w:rPr>
        <w:t>八、报价单</w:t>
      </w:r>
    </w:p>
    <w:p>
      <w:pPr>
        <w:pStyle w:val="8"/>
        <w:spacing w:before="0" w:beforeAutospacing="0" w:after="0" w:afterAutospacing="0" w:line="480" w:lineRule="exact"/>
        <w:ind w:left="-707" w:leftChars="-337" w:right="-758" w:rightChars="-361"/>
        <w:jc w:val="center"/>
        <w:rPr>
          <w:rFonts w:asciiTheme="minorEastAsia" w:hAnsiTheme="minorEastAsia"/>
          <w:b/>
          <w:sz w:val="28"/>
          <w:szCs w:val="28"/>
        </w:rPr>
      </w:pPr>
    </w:p>
    <w:p>
      <w:pPr>
        <w:pStyle w:val="8"/>
        <w:spacing w:before="0" w:beforeAutospacing="0" w:after="0" w:afterAutospacing="0" w:line="480" w:lineRule="exact"/>
        <w:ind w:left="-707" w:leftChars="-337" w:right="-758" w:rightChars="-361"/>
        <w:jc w:val="center"/>
        <w:rPr>
          <w:rFonts w:asciiTheme="minorEastAsia" w:hAnsiTheme="minorEastAsia"/>
          <w:b/>
          <w:sz w:val="28"/>
          <w:szCs w:val="28"/>
        </w:rPr>
      </w:pPr>
      <w:r>
        <w:rPr>
          <w:rFonts w:hint="eastAsia" w:asciiTheme="minorEastAsia" w:hAnsiTheme="minorEastAsia"/>
          <w:b/>
          <w:sz w:val="28"/>
          <w:szCs w:val="28"/>
        </w:rPr>
        <w:t>报价单</w:t>
      </w:r>
    </w:p>
    <w:p>
      <w:pPr>
        <w:pStyle w:val="8"/>
        <w:spacing w:before="0" w:beforeAutospacing="0" w:after="0" w:afterAutospacing="0" w:line="480" w:lineRule="exact"/>
        <w:ind w:left="-850" w:leftChars="-405" w:right="-758" w:rightChars="-361"/>
        <w:rPr>
          <w:rFonts w:asciiTheme="minorEastAsia" w:hAnsiTheme="minorEastAsia"/>
          <w:b/>
          <w:bCs/>
        </w:rPr>
      </w:pPr>
      <w:r>
        <w:rPr>
          <w:rFonts w:hint="eastAsia" w:asciiTheme="minorEastAsia" w:hAnsiTheme="minorEastAsia"/>
        </w:rPr>
        <w:t>投标单位名称（公章）：时间：</w:t>
      </w:r>
      <w:r>
        <w:rPr>
          <w:rFonts w:hint="eastAsia" w:asciiTheme="minorEastAsia" w:hAnsiTheme="minorEastAsia"/>
          <w:lang w:val="en-US" w:eastAsia="zh-CN"/>
        </w:rPr>
        <w:t xml:space="preserve"> </w:t>
      </w:r>
      <w:r>
        <w:rPr>
          <w:rFonts w:hint="eastAsia" w:asciiTheme="minorEastAsia" w:hAnsiTheme="minorEastAsia"/>
        </w:rPr>
        <w:t>年</w:t>
      </w:r>
      <w:r>
        <w:rPr>
          <w:rFonts w:hint="eastAsia" w:asciiTheme="minorEastAsia" w:hAnsiTheme="minorEastAsia"/>
          <w:lang w:val="en-US" w:eastAsia="zh-CN"/>
        </w:rPr>
        <w:t xml:space="preserve">  </w:t>
      </w:r>
      <w:r>
        <w:rPr>
          <w:rFonts w:hint="eastAsia" w:asciiTheme="minorEastAsia" w:hAnsiTheme="minorEastAsia"/>
        </w:rPr>
        <w:t>月</w:t>
      </w:r>
      <w:r>
        <w:rPr>
          <w:rFonts w:hint="eastAsia" w:asciiTheme="minorEastAsia" w:hAnsiTheme="minorEastAsia"/>
          <w:lang w:val="en-US" w:eastAsia="zh-CN"/>
        </w:rPr>
        <w:t xml:space="preserve">  </w:t>
      </w:r>
      <w:r>
        <w:rPr>
          <w:rFonts w:hint="eastAsia" w:asciiTheme="minorEastAsia" w:hAnsiTheme="minorEastAsia"/>
        </w:rPr>
        <w:t>日</w:t>
      </w:r>
    </w:p>
    <w:tbl>
      <w:tblPr>
        <w:tblStyle w:val="13"/>
        <w:tblW w:w="1015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2"/>
        <w:gridCol w:w="2093"/>
        <w:gridCol w:w="567"/>
        <w:gridCol w:w="685"/>
        <w:gridCol w:w="1016"/>
        <w:gridCol w:w="651"/>
        <w:gridCol w:w="620"/>
        <w:gridCol w:w="846"/>
        <w:gridCol w:w="790"/>
        <w:gridCol w:w="529"/>
        <w:gridCol w:w="529"/>
        <w:gridCol w:w="13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532" w:type="dxa"/>
            <w:shd w:val="clear" w:color="auto" w:fill="auto"/>
            <w:vAlign w:val="center"/>
          </w:tcPr>
          <w:p>
            <w:pPr>
              <w:widowControl/>
              <w:jc w:val="center"/>
              <w:rPr>
                <w:rFonts w:ascii="宋体" w:hAnsi="宋体" w:cs="宋体"/>
                <w:bCs/>
                <w:kern w:val="0"/>
                <w:szCs w:val="21"/>
              </w:rPr>
            </w:pPr>
            <w:r>
              <w:rPr>
                <w:rFonts w:hint="eastAsia" w:ascii="宋体" w:hAnsi="宋体" w:cs="宋体"/>
                <w:bCs/>
                <w:kern w:val="0"/>
                <w:szCs w:val="21"/>
              </w:rPr>
              <w:t>序号</w:t>
            </w:r>
          </w:p>
        </w:tc>
        <w:tc>
          <w:tcPr>
            <w:tcW w:w="2093" w:type="dxa"/>
            <w:shd w:val="clear" w:color="auto" w:fill="auto"/>
            <w:vAlign w:val="center"/>
          </w:tcPr>
          <w:p>
            <w:pPr>
              <w:widowControl/>
              <w:jc w:val="center"/>
              <w:rPr>
                <w:rFonts w:ascii="宋体" w:hAnsi="宋体" w:cs="宋体"/>
                <w:bCs/>
                <w:kern w:val="0"/>
                <w:szCs w:val="21"/>
              </w:rPr>
            </w:pPr>
            <w:r>
              <w:rPr>
                <w:rFonts w:hint="eastAsia" w:ascii="宋体" w:hAnsi="宋体" w:cs="宋体"/>
                <w:bCs/>
                <w:kern w:val="0"/>
                <w:szCs w:val="21"/>
              </w:rPr>
              <w:t>采购产品名称</w:t>
            </w:r>
          </w:p>
        </w:tc>
        <w:tc>
          <w:tcPr>
            <w:tcW w:w="567" w:type="dxa"/>
            <w:vAlign w:val="center"/>
          </w:tcPr>
          <w:p>
            <w:pPr>
              <w:widowControl/>
              <w:jc w:val="center"/>
              <w:rPr>
                <w:rFonts w:ascii="宋体" w:hAnsi="宋体" w:cs="宋体"/>
                <w:bCs/>
                <w:kern w:val="0"/>
                <w:szCs w:val="21"/>
              </w:rPr>
            </w:pPr>
            <w:r>
              <w:rPr>
                <w:rFonts w:hint="eastAsia" w:ascii="宋体" w:hAnsi="宋体" w:cs="宋体"/>
                <w:bCs/>
                <w:kern w:val="0"/>
                <w:szCs w:val="21"/>
              </w:rPr>
              <w:t>投标产品名称</w:t>
            </w:r>
          </w:p>
        </w:tc>
        <w:tc>
          <w:tcPr>
            <w:tcW w:w="685" w:type="dxa"/>
            <w:shd w:val="clear" w:color="auto" w:fill="auto"/>
            <w:vAlign w:val="center"/>
          </w:tcPr>
          <w:p>
            <w:pPr>
              <w:widowControl/>
              <w:jc w:val="center"/>
              <w:rPr>
                <w:rFonts w:ascii="宋体" w:hAnsi="宋体" w:cs="宋体"/>
                <w:bCs/>
                <w:kern w:val="0"/>
                <w:szCs w:val="21"/>
              </w:rPr>
            </w:pPr>
            <w:r>
              <w:rPr>
                <w:rFonts w:hint="eastAsia" w:ascii="宋体" w:hAnsi="宋体" w:cs="宋体"/>
                <w:bCs/>
                <w:kern w:val="0"/>
                <w:szCs w:val="21"/>
              </w:rPr>
              <w:t>规格型号</w:t>
            </w:r>
          </w:p>
        </w:tc>
        <w:tc>
          <w:tcPr>
            <w:tcW w:w="1016" w:type="dxa"/>
            <w:shd w:val="clear" w:color="auto" w:fill="auto"/>
            <w:vAlign w:val="center"/>
          </w:tcPr>
          <w:p>
            <w:pPr>
              <w:widowControl/>
              <w:jc w:val="center"/>
              <w:rPr>
                <w:rFonts w:ascii="宋体" w:hAnsi="宋体" w:cs="宋体"/>
                <w:bCs/>
                <w:kern w:val="0"/>
                <w:szCs w:val="21"/>
              </w:rPr>
            </w:pPr>
            <w:r>
              <w:rPr>
                <w:rFonts w:hint="eastAsia" w:ascii="宋体" w:hAnsi="宋体" w:cs="宋体"/>
                <w:bCs/>
                <w:kern w:val="0"/>
                <w:szCs w:val="21"/>
              </w:rPr>
              <w:t>单位</w:t>
            </w:r>
          </w:p>
        </w:tc>
        <w:tc>
          <w:tcPr>
            <w:tcW w:w="651" w:type="dxa"/>
            <w:vAlign w:val="center"/>
          </w:tcPr>
          <w:p>
            <w:pPr>
              <w:widowControl/>
              <w:spacing w:line="360" w:lineRule="auto"/>
              <w:jc w:val="center"/>
              <w:rPr>
                <w:rFonts w:cs="宋体" w:asciiTheme="minorEastAsia" w:hAnsiTheme="minorEastAsia"/>
                <w:color w:val="000000"/>
                <w:szCs w:val="21"/>
              </w:rPr>
            </w:pPr>
            <w:r>
              <w:rPr>
                <w:rFonts w:hint="eastAsia" w:ascii="宋体" w:hAnsi="宋体" w:cs="宋体"/>
                <w:bCs/>
                <w:szCs w:val="21"/>
              </w:rPr>
              <w:t>技术参数</w:t>
            </w:r>
          </w:p>
        </w:tc>
        <w:tc>
          <w:tcPr>
            <w:tcW w:w="620" w:type="dxa"/>
            <w:vAlign w:val="center"/>
          </w:tcPr>
          <w:p>
            <w:pPr>
              <w:widowControl/>
              <w:spacing w:line="360" w:lineRule="auto"/>
              <w:jc w:val="center"/>
              <w:rPr>
                <w:rFonts w:cs="宋体" w:asciiTheme="minorEastAsia" w:hAnsiTheme="minorEastAsia"/>
                <w:color w:val="000000"/>
                <w:szCs w:val="21"/>
              </w:rPr>
            </w:pPr>
            <w:r>
              <w:rPr>
                <w:rFonts w:hint="eastAsia" w:cs="宋体" w:asciiTheme="minorEastAsia" w:hAnsiTheme="minorEastAsia"/>
                <w:color w:val="000000"/>
                <w:szCs w:val="21"/>
              </w:rPr>
              <w:t>偏离情况</w:t>
            </w:r>
          </w:p>
        </w:tc>
        <w:tc>
          <w:tcPr>
            <w:tcW w:w="846" w:type="dxa"/>
            <w:vAlign w:val="center"/>
          </w:tcPr>
          <w:p>
            <w:pPr>
              <w:widowControl/>
              <w:spacing w:line="240" w:lineRule="exact"/>
              <w:jc w:val="center"/>
              <w:rPr>
                <w:rFonts w:ascii="宋体" w:hAnsi="宋体" w:cs="宋体"/>
                <w:bCs/>
                <w:kern w:val="0"/>
                <w:szCs w:val="21"/>
              </w:rPr>
            </w:pPr>
            <w:r>
              <w:rPr>
                <w:rFonts w:hint="eastAsia" w:ascii="宋体" w:hAnsi="宋体" w:cs="宋体"/>
                <w:bCs/>
                <w:kern w:val="0"/>
                <w:szCs w:val="21"/>
              </w:rPr>
              <w:t>预算含税单价</w:t>
            </w:r>
            <w:r>
              <w:rPr>
                <w:rFonts w:hint="eastAsia" w:ascii="宋体" w:hAnsi="宋体" w:cs="宋体"/>
                <w:kern w:val="0"/>
                <w:szCs w:val="21"/>
              </w:rPr>
              <w:t>（元）</w:t>
            </w:r>
          </w:p>
        </w:tc>
        <w:tc>
          <w:tcPr>
            <w:tcW w:w="790" w:type="dxa"/>
          </w:tcPr>
          <w:p>
            <w:pPr>
              <w:widowControl/>
              <w:spacing w:line="338" w:lineRule="atLeast"/>
              <w:jc w:val="center"/>
              <w:rPr>
                <w:rFonts w:cs="宋体" w:asciiTheme="minorEastAsia" w:hAnsiTheme="minorEastAsia"/>
                <w:color w:val="000000"/>
                <w:szCs w:val="21"/>
              </w:rPr>
            </w:pPr>
            <w:r>
              <w:rPr>
                <w:rFonts w:hint="eastAsia" w:cs="宋体" w:asciiTheme="minorEastAsia" w:hAnsiTheme="minorEastAsia"/>
                <w:color w:val="000000"/>
                <w:szCs w:val="21"/>
              </w:rPr>
              <w:t>投标报价</w:t>
            </w:r>
          </w:p>
          <w:p>
            <w:pPr>
              <w:widowControl/>
              <w:jc w:val="center"/>
              <w:rPr>
                <w:rFonts w:ascii="宋体" w:hAnsi="宋体" w:cs="宋体"/>
                <w:b/>
                <w:bCs/>
                <w:kern w:val="0"/>
                <w:szCs w:val="21"/>
              </w:rPr>
            </w:pPr>
            <w:r>
              <w:rPr>
                <w:rFonts w:hint="eastAsia" w:cs="宋体" w:asciiTheme="minorEastAsia" w:hAnsiTheme="minorEastAsia"/>
                <w:color w:val="000000"/>
                <w:szCs w:val="21"/>
              </w:rPr>
              <w:t>（单价，元）</w:t>
            </w:r>
          </w:p>
        </w:tc>
        <w:tc>
          <w:tcPr>
            <w:tcW w:w="529" w:type="dxa"/>
          </w:tcPr>
          <w:p>
            <w:pPr>
              <w:widowControl/>
              <w:jc w:val="center"/>
              <w:rPr>
                <w:rFonts w:ascii="宋体" w:hAnsi="宋体" w:cs="宋体"/>
                <w:b/>
                <w:bCs/>
                <w:kern w:val="0"/>
                <w:szCs w:val="21"/>
              </w:rPr>
            </w:pPr>
            <w:r>
              <w:rPr>
                <w:rFonts w:hint="eastAsia" w:cs="宋体" w:asciiTheme="minorEastAsia" w:hAnsiTheme="minorEastAsia"/>
                <w:color w:val="000000"/>
                <w:szCs w:val="21"/>
              </w:rPr>
              <w:t>生产厂商</w:t>
            </w:r>
          </w:p>
        </w:tc>
        <w:tc>
          <w:tcPr>
            <w:tcW w:w="529" w:type="dxa"/>
          </w:tcPr>
          <w:p>
            <w:pPr>
              <w:widowControl/>
              <w:jc w:val="center"/>
              <w:rPr>
                <w:rFonts w:ascii="宋体" w:hAnsi="宋体" w:cs="宋体"/>
                <w:b/>
                <w:bCs/>
                <w:kern w:val="0"/>
                <w:szCs w:val="21"/>
              </w:rPr>
            </w:pPr>
            <w:r>
              <w:rPr>
                <w:rFonts w:hint="eastAsia" w:cs="宋体" w:asciiTheme="minorEastAsia" w:hAnsiTheme="minorEastAsia"/>
                <w:color w:val="000000"/>
                <w:szCs w:val="21"/>
              </w:rPr>
              <w:t>产地</w:t>
            </w:r>
          </w:p>
        </w:tc>
        <w:tc>
          <w:tcPr>
            <w:tcW w:w="1301" w:type="dxa"/>
          </w:tcPr>
          <w:p>
            <w:pPr>
              <w:widowControl/>
              <w:jc w:val="center"/>
              <w:rPr>
                <w:rFonts w:ascii="宋体" w:hAnsi="宋体" w:cs="宋体"/>
                <w:b/>
                <w:bCs/>
                <w:kern w:val="0"/>
                <w:szCs w:val="21"/>
              </w:rPr>
            </w:pPr>
            <w:r>
              <w:rPr>
                <w:rFonts w:hint="eastAsia" w:cs="宋体" w:asciiTheme="minorEastAsia" w:hAnsiTheme="minorEastAsia"/>
                <w:color w:val="00000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532" w:type="dxa"/>
            <w:shd w:val="clear" w:color="auto" w:fill="auto"/>
            <w:vAlign w:val="center"/>
          </w:tcPr>
          <w:p>
            <w:pPr>
              <w:jc w:val="center"/>
              <w:rPr>
                <w:rFonts w:ascii="宋体" w:hAnsi="宋体" w:cs="宋体"/>
                <w:sz w:val="18"/>
                <w:szCs w:val="18"/>
              </w:rPr>
            </w:pPr>
            <w:r>
              <w:rPr>
                <w:rFonts w:hint="eastAsia" w:ascii="宋体" w:hAnsi="宋体"/>
                <w:sz w:val="18"/>
                <w:szCs w:val="18"/>
              </w:rPr>
              <w:t>1</w:t>
            </w:r>
          </w:p>
        </w:tc>
        <w:tc>
          <w:tcPr>
            <w:tcW w:w="2093" w:type="dxa"/>
            <w:shd w:val="clear" w:color="auto" w:fill="auto"/>
            <w:vAlign w:val="center"/>
          </w:tcPr>
          <w:p>
            <w:pPr>
              <w:widowControl/>
              <w:jc w:val="center"/>
              <w:textAlignment w:val="center"/>
              <w:rPr>
                <w:rFonts w:ascii="宋体" w:hAnsi="宋体" w:cs="宋体"/>
                <w:kern w:val="0"/>
                <w:sz w:val="18"/>
                <w:szCs w:val="18"/>
              </w:rPr>
            </w:pPr>
            <w:r>
              <w:rPr>
                <w:rFonts w:hint="eastAsia" w:ascii="宋体" w:hAnsi="宋体" w:eastAsia="宋体" w:cs="宋体"/>
                <w:b w:val="0"/>
                <w:bCs/>
                <w:kern w:val="0"/>
                <w:sz w:val="18"/>
                <w:szCs w:val="18"/>
              </w:rPr>
              <w:t>心肌肌钙蛋白I/肌红蛋白/肌酸激酶同工酶测定试剂盒(</w:t>
            </w:r>
            <w:r>
              <w:rPr>
                <w:rFonts w:hint="eastAsia" w:ascii="宋体" w:hAnsi="宋体" w:cs="宋体"/>
                <w:b w:val="0"/>
                <w:bCs/>
                <w:kern w:val="0"/>
                <w:sz w:val="18"/>
                <w:szCs w:val="18"/>
                <w:lang w:eastAsia="zh-CN"/>
              </w:rPr>
              <w:t>免疫荧光</w:t>
            </w:r>
            <w:r>
              <w:rPr>
                <w:rFonts w:hint="eastAsia" w:ascii="宋体" w:hAnsi="宋体" w:eastAsia="宋体" w:cs="宋体"/>
                <w:b w:val="0"/>
                <w:bCs/>
                <w:kern w:val="0"/>
                <w:sz w:val="18"/>
                <w:szCs w:val="18"/>
              </w:rPr>
              <w:t>法)</w:t>
            </w:r>
          </w:p>
        </w:tc>
        <w:tc>
          <w:tcPr>
            <w:tcW w:w="567" w:type="dxa"/>
            <w:vAlign w:val="center"/>
          </w:tcPr>
          <w:p>
            <w:pPr>
              <w:jc w:val="center"/>
              <w:rPr>
                <w:bCs/>
                <w:sz w:val="18"/>
                <w:szCs w:val="18"/>
              </w:rPr>
            </w:pPr>
          </w:p>
        </w:tc>
        <w:tc>
          <w:tcPr>
            <w:tcW w:w="685" w:type="dxa"/>
            <w:shd w:val="clear" w:color="auto" w:fill="auto"/>
            <w:vAlign w:val="center"/>
          </w:tcPr>
          <w:p>
            <w:pPr>
              <w:jc w:val="center"/>
              <w:rPr>
                <w:rFonts w:ascii="宋体" w:hAnsi="宋体" w:cs="宋体"/>
                <w:bCs/>
                <w:sz w:val="18"/>
                <w:szCs w:val="18"/>
              </w:rPr>
            </w:pPr>
          </w:p>
        </w:tc>
        <w:tc>
          <w:tcPr>
            <w:tcW w:w="1016" w:type="dxa"/>
            <w:shd w:val="clear" w:color="auto" w:fill="auto"/>
            <w:vAlign w:val="center"/>
          </w:tcPr>
          <w:p>
            <w:pPr>
              <w:jc w:val="center"/>
              <w:rPr>
                <w:rFonts w:ascii="宋体" w:hAnsi="宋体" w:cs="宋体"/>
                <w:sz w:val="18"/>
                <w:szCs w:val="18"/>
              </w:rPr>
            </w:pPr>
            <w:r>
              <w:rPr>
                <w:rFonts w:hint="eastAsia" w:ascii="宋体" w:hAnsi="宋体"/>
                <w:sz w:val="18"/>
                <w:szCs w:val="18"/>
              </w:rPr>
              <w:t>人份</w:t>
            </w:r>
          </w:p>
        </w:tc>
        <w:tc>
          <w:tcPr>
            <w:tcW w:w="651" w:type="dxa"/>
            <w:vAlign w:val="center"/>
          </w:tcPr>
          <w:p>
            <w:pPr>
              <w:jc w:val="center"/>
              <w:rPr>
                <w:rFonts w:ascii="宋体" w:hAnsi="宋体" w:cs="宋体"/>
                <w:bCs/>
                <w:sz w:val="18"/>
                <w:szCs w:val="18"/>
              </w:rPr>
            </w:pPr>
          </w:p>
        </w:tc>
        <w:tc>
          <w:tcPr>
            <w:tcW w:w="620" w:type="dxa"/>
          </w:tcPr>
          <w:p>
            <w:pPr>
              <w:widowControl/>
              <w:jc w:val="center"/>
              <w:rPr>
                <w:rFonts w:ascii="宋体" w:hAnsi="宋体" w:cs="宋体"/>
                <w:kern w:val="0"/>
                <w:sz w:val="18"/>
                <w:szCs w:val="18"/>
              </w:rPr>
            </w:pPr>
          </w:p>
        </w:tc>
        <w:tc>
          <w:tcPr>
            <w:tcW w:w="846" w:type="dxa"/>
            <w:vAlign w:val="center"/>
          </w:tcPr>
          <w:p>
            <w:pPr>
              <w:spacing w:line="340" w:lineRule="exact"/>
              <w:jc w:val="center"/>
              <w:rPr>
                <w:rFonts w:ascii="宋体" w:hAnsi="宋体" w:cs="宋体"/>
                <w:sz w:val="24"/>
              </w:rPr>
            </w:pPr>
            <w:r>
              <w:rPr>
                <w:rFonts w:hint="eastAsia" w:ascii="宋体" w:hAnsi="宋体" w:cs="宋体"/>
                <w:color w:val="000000"/>
                <w:szCs w:val="21"/>
                <w:lang w:val="en-US" w:eastAsia="zh-CN"/>
              </w:rPr>
              <w:t>34.92</w:t>
            </w:r>
          </w:p>
        </w:tc>
        <w:tc>
          <w:tcPr>
            <w:tcW w:w="790" w:type="dxa"/>
          </w:tcPr>
          <w:p>
            <w:pPr>
              <w:widowControl/>
              <w:jc w:val="center"/>
              <w:rPr>
                <w:rFonts w:ascii="宋体" w:hAnsi="宋体" w:cs="宋体"/>
                <w:kern w:val="0"/>
                <w:szCs w:val="21"/>
              </w:rPr>
            </w:pPr>
          </w:p>
        </w:tc>
        <w:tc>
          <w:tcPr>
            <w:tcW w:w="529" w:type="dxa"/>
          </w:tcPr>
          <w:p>
            <w:pPr>
              <w:widowControl/>
              <w:jc w:val="center"/>
              <w:rPr>
                <w:rFonts w:ascii="宋体" w:hAnsi="宋体" w:cs="宋体"/>
                <w:kern w:val="0"/>
                <w:szCs w:val="21"/>
              </w:rPr>
            </w:pPr>
          </w:p>
        </w:tc>
        <w:tc>
          <w:tcPr>
            <w:tcW w:w="529" w:type="dxa"/>
          </w:tcPr>
          <w:p>
            <w:pPr>
              <w:widowControl/>
              <w:jc w:val="center"/>
              <w:rPr>
                <w:rFonts w:ascii="宋体" w:hAnsi="宋体" w:cs="宋体"/>
                <w:kern w:val="0"/>
                <w:szCs w:val="21"/>
              </w:rPr>
            </w:pPr>
          </w:p>
        </w:tc>
        <w:tc>
          <w:tcPr>
            <w:tcW w:w="1301" w:type="dxa"/>
            <w:vMerge w:val="restart"/>
            <w:vAlign w:val="center"/>
          </w:tcPr>
          <w:p>
            <w:pPr>
              <w:widowControl/>
              <w:jc w:val="center"/>
              <w:rPr>
                <w:rFonts w:ascii="宋体" w:hAnsi="宋体" w:cs="宋体"/>
                <w:kern w:val="0"/>
                <w:szCs w:val="21"/>
              </w:rPr>
            </w:pPr>
            <w:r>
              <w:rPr>
                <w:rFonts w:hint="eastAsia" w:ascii="宋体" w:hAnsi="宋体" w:cs="宋体"/>
                <w:bCs/>
                <w:sz w:val="18"/>
                <w:szCs w:val="18"/>
              </w:rPr>
              <w:t>能够与</w:t>
            </w:r>
            <w:r>
              <w:rPr>
                <w:rFonts w:hint="eastAsia" w:ascii="宋体" w:hAnsi="宋体" w:cs="宋体"/>
                <w:bCs/>
                <w:sz w:val="18"/>
                <w:szCs w:val="18"/>
                <w:lang w:eastAsia="zh-CN"/>
              </w:rPr>
              <w:t>院内使用</w:t>
            </w:r>
            <w:r>
              <w:rPr>
                <w:rFonts w:hint="eastAsia" w:ascii="宋体" w:hAnsi="宋体" w:cs="宋体"/>
                <w:bCs/>
                <w:sz w:val="18"/>
                <w:szCs w:val="18"/>
              </w:rPr>
              <w:t>POCT分析仪配套使用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532" w:type="dxa"/>
            <w:shd w:val="clear" w:color="auto" w:fill="auto"/>
            <w:vAlign w:val="center"/>
          </w:tcPr>
          <w:p>
            <w:pPr>
              <w:jc w:val="center"/>
              <w:rPr>
                <w:rFonts w:ascii="宋体" w:hAnsi="宋体" w:cs="宋体"/>
                <w:sz w:val="18"/>
                <w:szCs w:val="18"/>
              </w:rPr>
            </w:pPr>
            <w:r>
              <w:rPr>
                <w:rFonts w:hint="eastAsia" w:ascii="宋体" w:hAnsi="宋体"/>
                <w:sz w:val="18"/>
                <w:szCs w:val="18"/>
              </w:rPr>
              <w:t>2</w:t>
            </w:r>
          </w:p>
        </w:tc>
        <w:tc>
          <w:tcPr>
            <w:tcW w:w="2093" w:type="dxa"/>
            <w:shd w:val="clear" w:color="auto" w:fill="auto"/>
            <w:vAlign w:val="center"/>
          </w:tcPr>
          <w:p>
            <w:pPr>
              <w:widowControl/>
              <w:jc w:val="center"/>
              <w:textAlignment w:val="center"/>
              <w:rPr>
                <w:rFonts w:ascii="宋体" w:hAnsi="宋体" w:cs="宋体"/>
                <w:kern w:val="0"/>
                <w:sz w:val="18"/>
                <w:szCs w:val="18"/>
              </w:rPr>
            </w:pPr>
            <w:r>
              <w:rPr>
                <w:rFonts w:hint="eastAsia" w:ascii="宋体" w:hAnsi="宋体" w:eastAsia="宋体" w:cs="宋体"/>
                <w:b w:val="0"/>
                <w:bCs/>
                <w:kern w:val="0"/>
                <w:sz w:val="18"/>
                <w:szCs w:val="18"/>
              </w:rPr>
              <w:t>N端脑钠肽前体测定试剂盒(</w:t>
            </w:r>
            <w:r>
              <w:rPr>
                <w:rFonts w:hint="eastAsia" w:ascii="宋体" w:hAnsi="宋体" w:cs="宋体"/>
                <w:b w:val="0"/>
                <w:bCs/>
                <w:kern w:val="0"/>
                <w:sz w:val="18"/>
                <w:szCs w:val="18"/>
                <w:lang w:eastAsia="zh-CN"/>
              </w:rPr>
              <w:t>免疫荧光</w:t>
            </w:r>
            <w:r>
              <w:rPr>
                <w:rFonts w:hint="eastAsia" w:ascii="宋体" w:hAnsi="宋体" w:eastAsia="宋体" w:cs="宋体"/>
                <w:b w:val="0"/>
                <w:bCs/>
                <w:kern w:val="0"/>
                <w:sz w:val="18"/>
                <w:szCs w:val="18"/>
              </w:rPr>
              <w:t>法)</w:t>
            </w:r>
          </w:p>
        </w:tc>
        <w:tc>
          <w:tcPr>
            <w:tcW w:w="567" w:type="dxa"/>
            <w:vAlign w:val="center"/>
          </w:tcPr>
          <w:p>
            <w:pPr>
              <w:jc w:val="center"/>
              <w:rPr>
                <w:bCs/>
                <w:sz w:val="18"/>
                <w:szCs w:val="18"/>
              </w:rPr>
            </w:pPr>
          </w:p>
        </w:tc>
        <w:tc>
          <w:tcPr>
            <w:tcW w:w="685" w:type="dxa"/>
            <w:shd w:val="clear" w:color="auto" w:fill="auto"/>
            <w:vAlign w:val="center"/>
          </w:tcPr>
          <w:p>
            <w:pPr>
              <w:jc w:val="center"/>
              <w:rPr>
                <w:rFonts w:ascii="宋体" w:hAnsi="宋体" w:cs="宋体"/>
                <w:bCs/>
                <w:sz w:val="18"/>
                <w:szCs w:val="18"/>
              </w:rPr>
            </w:pPr>
          </w:p>
        </w:tc>
        <w:tc>
          <w:tcPr>
            <w:tcW w:w="1016" w:type="dxa"/>
            <w:shd w:val="clear" w:color="auto" w:fill="auto"/>
            <w:vAlign w:val="center"/>
          </w:tcPr>
          <w:p>
            <w:pPr>
              <w:jc w:val="center"/>
              <w:rPr>
                <w:rFonts w:ascii="宋体" w:hAnsi="宋体" w:cs="宋体"/>
                <w:sz w:val="18"/>
                <w:szCs w:val="18"/>
              </w:rPr>
            </w:pPr>
            <w:r>
              <w:rPr>
                <w:rFonts w:hint="eastAsia" w:ascii="宋体" w:hAnsi="宋体"/>
                <w:sz w:val="18"/>
                <w:szCs w:val="18"/>
              </w:rPr>
              <w:t>人份</w:t>
            </w:r>
          </w:p>
        </w:tc>
        <w:tc>
          <w:tcPr>
            <w:tcW w:w="651" w:type="dxa"/>
            <w:vAlign w:val="center"/>
          </w:tcPr>
          <w:p>
            <w:pPr>
              <w:jc w:val="center"/>
              <w:rPr>
                <w:rFonts w:ascii="宋体" w:hAnsi="宋体" w:cs="宋体"/>
                <w:bCs/>
                <w:sz w:val="18"/>
                <w:szCs w:val="18"/>
              </w:rPr>
            </w:pPr>
          </w:p>
        </w:tc>
        <w:tc>
          <w:tcPr>
            <w:tcW w:w="620" w:type="dxa"/>
          </w:tcPr>
          <w:p>
            <w:pPr>
              <w:widowControl/>
              <w:jc w:val="center"/>
              <w:rPr>
                <w:rFonts w:ascii="宋体" w:hAnsi="宋体" w:cs="宋体"/>
                <w:kern w:val="0"/>
                <w:sz w:val="18"/>
                <w:szCs w:val="18"/>
              </w:rPr>
            </w:pPr>
          </w:p>
        </w:tc>
        <w:tc>
          <w:tcPr>
            <w:tcW w:w="846" w:type="dxa"/>
            <w:vAlign w:val="center"/>
          </w:tcPr>
          <w:p>
            <w:pPr>
              <w:spacing w:line="340" w:lineRule="exact"/>
              <w:jc w:val="center"/>
              <w:rPr>
                <w:rFonts w:ascii="宋体" w:hAnsi="宋体" w:cs="宋体"/>
                <w:sz w:val="24"/>
              </w:rPr>
            </w:pPr>
            <w:r>
              <w:rPr>
                <w:rFonts w:hint="eastAsia" w:ascii="宋体" w:hAnsi="宋体" w:cs="宋体"/>
                <w:color w:val="000000"/>
                <w:szCs w:val="21"/>
                <w:lang w:val="en-US" w:eastAsia="zh-CN"/>
              </w:rPr>
              <w:t>36.86</w:t>
            </w:r>
          </w:p>
        </w:tc>
        <w:tc>
          <w:tcPr>
            <w:tcW w:w="790" w:type="dxa"/>
          </w:tcPr>
          <w:p>
            <w:pPr>
              <w:widowControl/>
              <w:jc w:val="center"/>
              <w:rPr>
                <w:rFonts w:ascii="宋体" w:hAnsi="宋体" w:cs="宋体"/>
                <w:kern w:val="0"/>
                <w:szCs w:val="21"/>
              </w:rPr>
            </w:pPr>
          </w:p>
        </w:tc>
        <w:tc>
          <w:tcPr>
            <w:tcW w:w="529" w:type="dxa"/>
          </w:tcPr>
          <w:p>
            <w:pPr>
              <w:widowControl/>
              <w:jc w:val="center"/>
              <w:rPr>
                <w:rFonts w:ascii="宋体" w:hAnsi="宋体" w:cs="宋体"/>
                <w:kern w:val="0"/>
                <w:szCs w:val="21"/>
              </w:rPr>
            </w:pPr>
          </w:p>
        </w:tc>
        <w:tc>
          <w:tcPr>
            <w:tcW w:w="529" w:type="dxa"/>
          </w:tcPr>
          <w:p>
            <w:pPr>
              <w:widowControl/>
              <w:jc w:val="center"/>
              <w:rPr>
                <w:rFonts w:ascii="宋体" w:hAnsi="宋体" w:cs="宋体"/>
                <w:kern w:val="0"/>
                <w:szCs w:val="21"/>
              </w:rPr>
            </w:pPr>
          </w:p>
        </w:tc>
        <w:tc>
          <w:tcPr>
            <w:tcW w:w="1301" w:type="dxa"/>
            <w:vMerge w:val="continue"/>
          </w:tcPr>
          <w:p>
            <w:pPr>
              <w:widowControl/>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532" w:type="dxa"/>
            <w:shd w:val="clear" w:color="auto" w:fill="auto"/>
            <w:vAlign w:val="center"/>
          </w:tcPr>
          <w:p>
            <w:pPr>
              <w:jc w:val="center"/>
              <w:rPr>
                <w:rFonts w:ascii="宋体" w:hAnsi="宋体" w:cs="宋体"/>
                <w:sz w:val="18"/>
                <w:szCs w:val="18"/>
              </w:rPr>
            </w:pPr>
            <w:r>
              <w:rPr>
                <w:rFonts w:hint="eastAsia" w:ascii="宋体" w:hAnsi="宋体"/>
                <w:sz w:val="18"/>
                <w:szCs w:val="18"/>
              </w:rPr>
              <w:t>3</w:t>
            </w:r>
          </w:p>
        </w:tc>
        <w:tc>
          <w:tcPr>
            <w:tcW w:w="2093" w:type="dxa"/>
            <w:shd w:val="clear" w:color="auto" w:fill="auto"/>
            <w:vAlign w:val="center"/>
          </w:tcPr>
          <w:p>
            <w:pPr>
              <w:widowControl/>
              <w:jc w:val="center"/>
              <w:textAlignment w:val="center"/>
              <w:rPr>
                <w:rFonts w:ascii="宋体" w:hAnsi="宋体" w:cs="宋体"/>
                <w:kern w:val="0"/>
                <w:sz w:val="18"/>
                <w:szCs w:val="18"/>
              </w:rPr>
            </w:pPr>
            <w:r>
              <w:rPr>
                <w:rFonts w:hint="eastAsia" w:ascii="宋体" w:hAnsi="宋体" w:eastAsia="宋体" w:cs="宋体"/>
                <w:b w:val="0"/>
                <w:bCs/>
                <w:kern w:val="0"/>
                <w:sz w:val="18"/>
                <w:szCs w:val="18"/>
              </w:rPr>
              <w:t>全程C-反应蛋白测定试剂盒(</w:t>
            </w:r>
            <w:r>
              <w:rPr>
                <w:rFonts w:hint="eastAsia" w:ascii="宋体" w:hAnsi="宋体" w:cs="宋体"/>
                <w:b w:val="0"/>
                <w:bCs/>
                <w:kern w:val="0"/>
                <w:sz w:val="18"/>
                <w:szCs w:val="18"/>
                <w:lang w:eastAsia="zh-CN"/>
              </w:rPr>
              <w:t>免疫荧光</w:t>
            </w:r>
            <w:r>
              <w:rPr>
                <w:rFonts w:hint="eastAsia" w:ascii="宋体" w:hAnsi="宋体" w:eastAsia="宋体" w:cs="宋体"/>
                <w:b w:val="0"/>
                <w:bCs/>
                <w:kern w:val="0"/>
                <w:sz w:val="18"/>
                <w:szCs w:val="18"/>
              </w:rPr>
              <w:t>法)</w:t>
            </w:r>
          </w:p>
        </w:tc>
        <w:tc>
          <w:tcPr>
            <w:tcW w:w="567" w:type="dxa"/>
            <w:vAlign w:val="center"/>
          </w:tcPr>
          <w:p>
            <w:pPr>
              <w:jc w:val="center"/>
              <w:rPr>
                <w:bCs/>
                <w:sz w:val="18"/>
                <w:szCs w:val="18"/>
              </w:rPr>
            </w:pPr>
          </w:p>
        </w:tc>
        <w:tc>
          <w:tcPr>
            <w:tcW w:w="685" w:type="dxa"/>
            <w:shd w:val="clear" w:color="auto" w:fill="auto"/>
            <w:vAlign w:val="center"/>
          </w:tcPr>
          <w:p>
            <w:pPr>
              <w:jc w:val="center"/>
              <w:rPr>
                <w:rFonts w:ascii="宋体" w:hAnsi="宋体" w:cs="宋体"/>
                <w:bCs/>
                <w:sz w:val="18"/>
                <w:szCs w:val="18"/>
              </w:rPr>
            </w:pPr>
          </w:p>
        </w:tc>
        <w:tc>
          <w:tcPr>
            <w:tcW w:w="1016" w:type="dxa"/>
            <w:shd w:val="clear" w:color="auto" w:fill="auto"/>
            <w:vAlign w:val="center"/>
          </w:tcPr>
          <w:p>
            <w:pPr>
              <w:jc w:val="center"/>
              <w:rPr>
                <w:rFonts w:ascii="宋体" w:hAnsi="宋体" w:cs="宋体"/>
                <w:sz w:val="18"/>
                <w:szCs w:val="18"/>
              </w:rPr>
            </w:pPr>
            <w:r>
              <w:rPr>
                <w:rFonts w:hint="eastAsia" w:ascii="宋体" w:hAnsi="宋体"/>
                <w:sz w:val="18"/>
                <w:szCs w:val="18"/>
              </w:rPr>
              <w:t>人份</w:t>
            </w:r>
          </w:p>
        </w:tc>
        <w:tc>
          <w:tcPr>
            <w:tcW w:w="651" w:type="dxa"/>
            <w:vAlign w:val="center"/>
          </w:tcPr>
          <w:p>
            <w:pPr>
              <w:jc w:val="center"/>
              <w:rPr>
                <w:rFonts w:ascii="宋体" w:hAnsi="宋体" w:cs="宋体"/>
                <w:bCs/>
                <w:sz w:val="18"/>
                <w:szCs w:val="18"/>
              </w:rPr>
            </w:pPr>
          </w:p>
        </w:tc>
        <w:tc>
          <w:tcPr>
            <w:tcW w:w="620" w:type="dxa"/>
          </w:tcPr>
          <w:p>
            <w:pPr>
              <w:widowControl/>
              <w:jc w:val="center"/>
              <w:rPr>
                <w:rFonts w:ascii="宋体" w:hAnsi="宋体" w:cs="宋体"/>
                <w:kern w:val="0"/>
                <w:sz w:val="18"/>
                <w:szCs w:val="18"/>
              </w:rPr>
            </w:pPr>
          </w:p>
        </w:tc>
        <w:tc>
          <w:tcPr>
            <w:tcW w:w="846" w:type="dxa"/>
            <w:vAlign w:val="center"/>
          </w:tcPr>
          <w:p>
            <w:pPr>
              <w:jc w:val="center"/>
              <w:rPr>
                <w:rFonts w:ascii="宋体" w:hAnsi="宋体" w:cs="宋体"/>
                <w:sz w:val="24"/>
              </w:rPr>
            </w:pPr>
            <w:r>
              <w:rPr>
                <w:rFonts w:hint="eastAsia" w:ascii="宋体" w:hAnsi="宋体" w:cs="宋体"/>
                <w:color w:val="000000"/>
                <w:szCs w:val="21"/>
                <w:lang w:val="en-US" w:eastAsia="zh-CN"/>
              </w:rPr>
              <w:t>3.49</w:t>
            </w:r>
          </w:p>
        </w:tc>
        <w:tc>
          <w:tcPr>
            <w:tcW w:w="790" w:type="dxa"/>
          </w:tcPr>
          <w:p>
            <w:pPr>
              <w:widowControl/>
              <w:jc w:val="center"/>
              <w:rPr>
                <w:rFonts w:ascii="宋体" w:hAnsi="宋体" w:cs="宋体"/>
                <w:kern w:val="0"/>
                <w:szCs w:val="21"/>
              </w:rPr>
            </w:pPr>
          </w:p>
        </w:tc>
        <w:tc>
          <w:tcPr>
            <w:tcW w:w="529" w:type="dxa"/>
          </w:tcPr>
          <w:p>
            <w:pPr>
              <w:widowControl/>
              <w:jc w:val="center"/>
              <w:rPr>
                <w:rFonts w:ascii="宋体" w:hAnsi="宋体" w:cs="宋体"/>
                <w:kern w:val="0"/>
                <w:szCs w:val="21"/>
              </w:rPr>
            </w:pPr>
          </w:p>
        </w:tc>
        <w:tc>
          <w:tcPr>
            <w:tcW w:w="529" w:type="dxa"/>
          </w:tcPr>
          <w:p>
            <w:pPr>
              <w:widowControl/>
              <w:jc w:val="center"/>
              <w:rPr>
                <w:rFonts w:ascii="宋体" w:hAnsi="宋体" w:cs="宋体"/>
                <w:kern w:val="0"/>
                <w:szCs w:val="21"/>
              </w:rPr>
            </w:pPr>
          </w:p>
        </w:tc>
        <w:tc>
          <w:tcPr>
            <w:tcW w:w="1301" w:type="dxa"/>
            <w:vMerge w:val="continue"/>
          </w:tcPr>
          <w:p>
            <w:pPr>
              <w:widowControl/>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532" w:type="dxa"/>
            <w:shd w:val="clear" w:color="auto" w:fill="auto"/>
            <w:vAlign w:val="center"/>
          </w:tcPr>
          <w:p>
            <w:pPr>
              <w:jc w:val="center"/>
              <w:rPr>
                <w:rFonts w:ascii="宋体" w:hAnsi="宋体" w:cs="宋体"/>
                <w:sz w:val="18"/>
                <w:szCs w:val="18"/>
              </w:rPr>
            </w:pPr>
            <w:r>
              <w:rPr>
                <w:rFonts w:hint="eastAsia" w:ascii="宋体" w:hAnsi="宋体"/>
                <w:sz w:val="18"/>
                <w:szCs w:val="18"/>
              </w:rPr>
              <w:t>4</w:t>
            </w:r>
          </w:p>
        </w:tc>
        <w:tc>
          <w:tcPr>
            <w:tcW w:w="2093" w:type="dxa"/>
            <w:shd w:val="clear" w:color="auto" w:fill="auto"/>
            <w:vAlign w:val="center"/>
          </w:tcPr>
          <w:p>
            <w:pPr>
              <w:widowControl/>
              <w:jc w:val="center"/>
              <w:textAlignment w:val="center"/>
              <w:rPr>
                <w:rFonts w:ascii="宋体" w:hAnsi="宋体" w:cs="宋体"/>
                <w:kern w:val="0"/>
                <w:sz w:val="18"/>
                <w:szCs w:val="18"/>
              </w:rPr>
            </w:pPr>
            <w:r>
              <w:rPr>
                <w:rFonts w:hint="eastAsia" w:ascii="宋体" w:hAnsi="宋体" w:eastAsia="宋体" w:cs="宋体"/>
                <w:b w:val="0"/>
                <w:bCs/>
                <w:kern w:val="0"/>
                <w:sz w:val="18"/>
                <w:szCs w:val="18"/>
              </w:rPr>
              <w:t>C-反应蛋白测定试剂(</w:t>
            </w:r>
            <w:r>
              <w:rPr>
                <w:rFonts w:hint="eastAsia" w:ascii="宋体" w:hAnsi="宋体" w:cs="宋体"/>
                <w:b w:val="0"/>
                <w:bCs/>
                <w:kern w:val="0"/>
                <w:sz w:val="18"/>
                <w:szCs w:val="18"/>
                <w:lang w:eastAsia="zh-CN"/>
              </w:rPr>
              <w:t>免疫荧光</w:t>
            </w:r>
            <w:r>
              <w:rPr>
                <w:rFonts w:hint="eastAsia" w:ascii="宋体" w:hAnsi="宋体" w:eastAsia="宋体" w:cs="宋体"/>
                <w:b w:val="0"/>
                <w:bCs/>
                <w:kern w:val="0"/>
                <w:sz w:val="18"/>
                <w:szCs w:val="18"/>
              </w:rPr>
              <w:t>法)</w:t>
            </w:r>
          </w:p>
        </w:tc>
        <w:tc>
          <w:tcPr>
            <w:tcW w:w="567" w:type="dxa"/>
            <w:vAlign w:val="center"/>
          </w:tcPr>
          <w:p>
            <w:pPr>
              <w:jc w:val="center"/>
              <w:rPr>
                <w:bCs/>
                <w:sz w:val="18"/>
                <w:szCs w:val="18"/>
              </w:rPr>
            </w:pPr>
          </w:p>
        </w:tc>
        <w:tc>
          <w:tcPr>
            <w:tcW w:w="685" w:type="dxa"/>
            <w:shd w:val="clear" w:color="auto" w:fill="auto"/>
            <w:vAlign w:val="center"/>
          </w:tcPr>
          <w:p>
            <w:pPr>
              <w:jc w:val="center"/>
              <w:rPr>
                <w:rFonts w:ascii="宋体" w:hAnsi="宋体" w:cs="宋体"/>
                <w:bCs/>
                <w:sz w:val="18"/>
                <w:szCs w:val="18"/>
              </w:rPr>
            </w:pPr>
          </w:p>
        </w:tc>
        <w:tc>
          <w:tcPr>
            <w:tcW w:w="1016" w:type="dxa"/>
            <w:shd w:val="clear" w:color="auto" w:fill="auto"/>
            <w:vAlign w:val="center"/>
          </w:tcPr>
          <w:p>
            <w:pPr>
              <w:jc w:val="center"/>
              <w:rPr>
                <w:rFonts w:ascii="宋体" w:hAnsi="宋体" w:cs="宋体"/>
                <w:sz w:val="18"/>
                <w:szCs w:val="18"/>
              </w:rPr>
            </w:pPr>
            <w:r>
              <w:rPr>
                <w:rFonts w:hint="eastAsia" w:ascii="宋体" w:hAnsi="宋体"/>
                <w:sz w:val="18"/>
                <w:szCs w:val="18"/>
              </w:rPr>
              <w:t>人份</w:t>
            </w:r>
          </w:p>
        </w:tc>
        <w:tc>
          <w:tcPr>
            <w:tcW w:w="651" w:type="dxa"/>
            <w:vAlign w:val="center"/>
          </w:tcPr>
          <w:p>
            <w:pPr>
              <w:jc w:val="center"/>
              <w:rPr>
                <w:bCs/>
                <w:sz w:val="18"/>
                <w:szCs w:val="18"/>
              </w:rPr>
            </w:pPr>
          </w:p>
        </w:tc>
        <w:tc>
          <w:tcPr>
            <w:tcW w:w="620" w:type="dxa"/>
          </w:tcPr>
          <w:p>
            <w:pPr>
              <w:widowControl/>
              <w:jc w:val="center"/>
              <w:rPr>
                <w:rFonts w:ascii="宋体" w:hAnsi="宋体" w:cs="宋体"/>
                <w:kern w:val="0"/>
                <w:sz w:val="18"/>
                <w:szCs w:val="18"/>
              </w:rPr>
            </w:pPr>
          </w:p>
        </w:tc>
        <w:tc>
          <w:tcPr>
            <w:tcW w:w="846" w:type="dxa"/>
            <w:vAlign w:val="center"/>
          </w:tcPr>
          <w:p>
            <w:pPr>
              <w:jc w:val="center"/>
              <w:rPr>
                <w:rFonts w:ascii="宋体" w:hAnsi="宋体" w:cs="宋体"/>
                <w:sz w:val="24"/>
              </w:rPr>
            </w:pPr>
            <w:r>
              <w:rPr>
                <w:rFonts w:hint="eastAsia" w:ascii="宋体" w:hAnsi="宋体" w:cs="宋体"/>
                <w:color w:val="000000"/>
                <w:szCs w:val="21"/>
                <w:lang w:val="en-US" w:eastAsia="zh-CN"/>
              </w:rPr>
              <w:t>3.49</w:t>
            </w:r>
          </w:p>
        </w:tc>
        <w:tc>
          <w:tcPr>
            <w:tcW w:w="790" w:type="dxa"/>
          </w:tcPr>
          <w:p>
            <w:pPr>
              <w:widowControl/>
              <w:jc w:val="center"/>
              <w:rPr>
                <w:rFonts w:ascii="宋体" w:hAnsi="宋体" w:cs="宋体"/>
                <w:kern w:val="0"/>
                <w:szCs w:val="21"/>
              </w:rPr>
            </w:pPr>
          </w:p>
        </w:tc>
        <w:tc>
          <w:tcPr>
            <w:tcW w:w="529" w:type="dxa"/>
          </w:tcPr>
          <w:p>
            <w:pPr>
              <w:widowControl/>
              <w:jc w:val="center"/>
              <w:rPr>
                <w:rFonts w:ascii="宋体" w:hAnsi="宋体" w:cs="宋体"/>
                <w:kern w:val="0"/>
                <w:szCs w:val="21"/>
              </w:rPr>
            </w:pPr>
          </w:p>
        </w:tc>
        <w:tc>
          <w:tcPr>
            <w:tcW w:w="529" w:type="dxa"/>
          </w:tcPr>
          <w:p>
            <w:pPr>
              <w:widowControl/>
              <w:jc w:val="center"/>
              <w:rPr>
                <w:rFonts w:ascii="宋体" w:hAnsi="宋体" w:cs="宋体"/>
                <w:kern w:val="0"/>
                <w:szCs w:val="21"/>
              </w:rPr>
            </w:pPr>
          </w:p>
        </w:tc>
        <w:tc>
          <w:tcPr>
            <w:tcW w:w="1301" w:type="dxa"/>
            <w:vMerge w:val="continue"/>
          </w:tcPr>
          <w:p>
            <w:pPr>
              <w:widowControl/>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532" w:type="dxa"/>
            <w:shd w:val="clear" w:color="auto" w:fill="auto"/>
            <w:vAlign w:val="center"/>
          </w:tcPr>
          <w:p>
            <w:pPr>
              <w:jc w:val="center"/>
              <w:rPr>
                <w:rFonts w:ascii="宋体" w:hAnsi="宋体" w:cs="宋体"/>
                <w:sz w:val="18"/>
                <w:szCs w:val="18"/>
              </w:rPr>
            </w:pPr>
            <w:r>
              <w:rPr>
                <w:rFonts w:hint="eastAsia" w:ascii="宋体" w:hAnsi="宋体"/>
                <w:sz w:val="18"/>
                <w:szCs w:val="18"/>
              </w:rPr>
              <w:t>5</w:t>
            </w:r>
          </w:p>
        </w:tc>
        <w:tc>
          <w:tcPr>
            <w:tcW w:w="2093" w:type="dxa"/>
            <w:shd w:val="clear" w:color="auto" w:fill="auto"/>
            <w:vAlign w:val="center"/>
          </w:tcPr>
          <w:p>
            <w:pPr>
              <w:widowControl/>
              <w:jc w:val="center"/>
              <w:textAlignment w:val="center"/>
              <w:rPr>
                <w:rFonts w:ascii="宋体" w:hAnsi="宋体" w:cs="宋体"/>
                <w:kern w:val="0"/>
                <w:sz w:val="18"/>
                <w:szCs w:val="18"/>
              </w:rPr>
            </w:pPr>
            <w:r>
              <w:rPr>
                <w:rFonts w:hint="eastAsia" w:ascii="宋体" w:hAnsi="宋体" w:eastAsia="宋体" w:cs="宋体"/>
                <w:b w:val="0"/>
                <w:bCs/>
                <w:kern w:val="0"/>
                <w:sz w:val="18"/>
                <w:szCs w:val="18"/>
              </w:rPr>
              <w:t>肌红蛋白测定试剂盒(</w:t>
            </w:r>
            <w:r>
              <w:rPr>
                <w:rFonts w:hint="eastAsia" w:ascii="宋体" w:hAnsi="宋体" w:cs="宋体"/>
                <w:b w:val="0"/>
                <w:bCs/>
                <w:kern w:val="0"/>
                <w:sz w:val="18"/>
                <w:szCs w:val="18"/>
                <w:lang w:eastAsia="zh-CN"/>
              </w:rPr>
              <w:t>免疫荧光</w:t>
            </w:r>
            <w:r>
              <w:rPr>
                <w:rFonts w:hint="eastAsia" w:ascii="宋体" w:hAnsi="宋体" w:eastAsia="宋体" w:cs="宋体"/>
                <w:b w:val="0"/>
                <w:bCs/>
                <w:kern w:val="0"/>
                <w:sz w:val="18"/>
                <w:szCs w:val="18"/>
              </w:rPr>
              <w:t>法)</w:t>
            </w:r>
          </w:p>
        </w:tc>
        <w:tc>
          <w:tcPr>
            <w:tcW w:w="567" w:type="dxa"/>
            <w:vAlign w:val="center"/>
          </w:tcPr>
          <w:p>
            <w:pPr>
              <w:jc w:val="center"/>
              <w:rPr>
                <w:bCs/>
                <w:sz w:val="18"/>
                <w:szCs w:val="18"/>
              </w:rPr>
            </w:pPr>
          </w:p>
        </w:tc>
        <w:tc>
          <w:tcPr>
            <w:tcW w:w="685" w:type="dxa"/>
            <w:shd w:val="clear" w:color="auto" w:fill="auto"/>
            <w:vAlign w:val="center"/>
          </w:tcPr>
          <w:p>
            <w:pPr>
              <w:jc w:val="center"/>
              <w:rPr>
                <w:rFonts w:ascii="宋体" w:hAnsi="宋体" w:cs="宋体"/>
                <w:bCs/>
                <w:sz w:val="18"/>
                <w:szCs w:val="18"/>
              </w:rPr>
            </w:pPr>
          </w:p>
        </w:tc>
        <w:tc>
          <w:tcPr>
            <w:tcW w:w="1016" w:type="dxa"/>
            <w:shd w:val="clear" w:color="auto" w:fill="auto"/>
            <w:vAlign w:val="center"/>
          </w:tcPr>
          <w:p>
            <w:pPr>
              <w:jc w:val="center"/>
              <w:rPr>
                <w:rFonts w:ascii="宋体" w:hAnsi="宋体" w:cs="宋体"/>
                <w:sz w:val="18"/>
                <w:szCs w:val="18"/>
              </w:rPr>
            </w:pPr>
            <w:r>
              <w:rPr>
                <w:rFonts w:hint="eastAsia" w:ascii="宋体" w:hAnsi="宋体"/>
                <w:sz w:val="18"/>
                <w:szCs w:val="18"/>
              </w:rPr>
              <w:t>人份</w:t>
            </w:r>
          </w:p>
        </w:tc>
        <w:tc>
          <w:tcPr>
            <w:tcW w:w="651" w:type="dxa"/>
            <w:vAlign w:val="center"/>
          </w:tcPr>
          <w:p>
            <w:pPr>
              <w:jc w:val="center"/>
              <w:rPr>
                <w:bCs/>
                <w:sz w:val="18"/>
                <w:szCs w:val="18"/>
              </w:rPr>
            </w:pPr>
          </w:p>
        </w:tc>
        <w:tc>
          <w:tcPr>
            <w:tcW w:w="620" w:type="dxa"/>
          </w:tcPr>
          <w:p>
            <w:pPr>
              <w:widowControl/>
              <w:jc w:val="center"/>
              <w:rPr>
                <w:rFonts w:ascii="宋体" w:hAnsi="宋体" w:cs="宋体"/>
                <w:kern w:val="0"/>
                <w:sz w:val="18"/>
                <w:szCs w:val="18"/>
              </w:rPr>
            </w:pPr>
          </w:p>
        </w:tc>
        <w:tc>
          <w:tcPr>
            <w:tcW w:w="846" w:type="dxa"/>
            <w:vAlign w:val="center"/>
          </w:tcPr>
          <w:p>
            <w:pPr>
              <w:widowControl/>
              <w:spacing w:line="340" w:lineRule="exact"/>
              <w:jc w:val="center"/>
              <w:textAlignment w:val="center"/>
              <w:rPr>
                <w:rFonts w:ascii="宋体" w:hAnsi="宋体" w:cs="宋体"/>
                <w:bCs/>
                <w:kern w:val="0"/>
                <w:sz w:val="18"/>
                <w:szCs w:val="18"/>
              </w:rPr>
            </w:pPr>
            <w:r>
              <w:rPr>
                <w:rFonts w:hint="eastAsia" w:ascii="宋体" w:hAnsi="宋体" w:cs="宋体"/>
                <w:bCs/>
                <w:color w:val="000000"/>
                <w:kern w:val="0"/>
                <w:szCs w:val="21"/>
                <w:lang w:val="en-US" w:eastAsia="zh-CN" w:bidi="ar"/>
              </w:rPr>
              <w:t>8.88</w:t>
            </w:r>
          </w:p>
        </w:tc>
        <w:tc>
          <w:tcPr>
            <w:tcW w:w="790" w:type="dxa"/>
          </w:tcPr>
          <w:p>
            <w:pPr>
              <w:widowControl/>
              <w:jc w:val="center"/>
              <w:rPr>
                <w:rFonts w:ascii="宋体" w:hAnsi="宋体" w:cs="宋体"/>
                <w:kern w:val="0"/>
                <w:szCs w:val="21"/>
              </w:rPr>
            </w:pPr>
          </w:p>
        </w:tc>
        <w:tc>
          <w:tcPr>
            <w:tcW w:w="529" w:type="dxa"/>
          </w:tcPr>
          <w:p>
            <w:pPr>
              <w:widowControl/>
              <w:jc w:val="center"/>
              <w:rPr>
                <w:rFonts w:ascii="宋体" w:hAnsi="宋体" w:cs="宋体"/>
                <w:kern w:val="0"/>
                <w:szCs w:val="21"/>
              </w:rPr>
            </w:pPr>
          </w:p>
        </w:tc>
        <w:tc>
          <w:tcPr>
            <w:tcW w:w="529" w:type="dxa"/>
          </w:tcPr>
          <w:p>
            <w:pPr>
              <w:widowControl/>
              <w:jc w:val="center"/>
              <w:rPr>
                <w:rFonts w:ascii="宋体" w:hAnsi="宋体" w:cs="宋体"/>
                <w:kern w:val="0"/>
                <w:szCs w:val="21"/>
              </w:rPr>
            </w:pPr>
          </w:p>
        </w:tc>
        <w:tc>
          <w:tcPr>
            <w:tcW w:w="1301" w:type="dxa"/>
            <w:vMerge w:val="continue"/>
          </w:tcPr>
          <w:p>
            <w:pPr>
              <w:widowControl/>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532" w:type="dxa"/>
            <w:shd w:val="clear" w:color="auto" w:fill="auto"/>
            <w:vAlign w:val="center"/>
          </w:tcPr>
          <w:p>
            <w:pPr>
              <w:jc w:val="center"/>
              <w:rPr>
                <w:rFonts w:ascii="宋体" w:hAnsi="宋体" w:cs="宋体"/>
                <w:sz w:val="18"/>
                <w:szCs w:val="18"/>
              </w:rPr>
            </w:pPr>
            <w:r>
              <w:rPr>
                <w:rFonts w:hint="eastAsia" w:ascii="宋体" w:hAnsi="宋体"/>
                <w:sz w:val="18"/>
                <w:szCs w:val="18"/>
              </w:rPr>
              <w:t>6</w:t>
            </w:r>
          </w:p>
        </w:tc>
        <w:tc>
          <w:tcPr>
            <w:tcW w:w="2093" w:type="dxa"/>
            <w:shd w:val="clear" w:color="auto" w:fill="auto"/>
            <w:vAlign w:val="center"/>
          </w:tcPr>
          <w:p>
            <w:pPr>
              <w:widowControl/>
              <w:jc w:val="center"/>
              <w:textAlignment w:val="center"/>
              <w:rPr>
                <w:rFonts w:ascii="宋体" w:hAnsi="宋体" w:cs="宋体"/>
                <w:kern w:val="0"/>
                <w:sz w:val="18"/>
                <w:szCs w:val="18"/>
              </w:rPr>
            </w:pPr>
            <w:r>
              <w:rPr>
                <w:rFonts w:hint="eastAsia" w:ascii="宋体" w:hAnsi="宋体" w:eastAsia="宋体" w:cs="宋体"/>
                <w:b w:val="0"/>
                <w:bCs/>
                <w:kern w:val="0"/>
                <w:sz w:val="18"/>
                <w:szCs w:val="18"/>
              </w:rPr>
              <w:t>肌酸激酶同工酶测定试剂盒(</w:t>
            </w:r>
            <w:r>
              <w:rPr>
                <w:rFonts w:hint="eastAsia" w:ascii="宋体" w:hAnsi="宋体" w:cs="宋体"/>
                <w:b w:val="0"/>
                <w:bCs/>
                <w:kern w:val="0"/>
                <w:sz w:val="18"/>
                <w:szCs w:val="18"/>
                <w:lang w:eastAsia="zh-CN"/>
              </w:rPr>
              <w:t>免疫荧光</w:t>
            </w:r>
            <w:r>
              <w:rPr>
                <w:rFonts w:hint="eastAsia" w:ascii="宋体" w:hAnsi="宋体" w:eastAsia="宋体" w:cs="宋体"/>
                <w:b w:val="0"/>
                <w:bCs/>
                <w:kern w:val="0"/>
                <w:sz w:val="18"/>
                <w:szCs w:val="18"/>
              </w:rPr>
              <w:t>法)</w:t>
            </w:r>
          </w:p>
        </w:tc>
        <w:tc>
          <w:tcPr>
            <w:tcW w:w="567" w:type="dxa"/>
            <w:vAlign w:val="center"/>
          </w:tcPr>
          <w:p>
            <w:pPr>
              <w:jc w:val="center"/>
              <w:rPr>
                <w:bCs/>
                <w:sz w:val="18"/>
                <w:szCs w:val="18"/>
              </w:rPr>
            </w:pPr>
          </w:p>
        </w:tc>
        <w:tc>
          <w:tcPr>
            <w:tcW w:w="685" w:type="dxa"/>
            <w:shd w:val="clear" w:color="auto" w:fill="auto"/>
            <w:vAlign w:val="center"/>
          </w:tcPr>
          <w:p>
            <w:pPr>
              <w:jc w:val="center"/>
              <w:rPr>
                <w:rFonts w:ascii="宋体" w:hAnsi="宋体" w:cs="宋体"/>
                <w:bCs/>
                <w:sz w:val="18"/>
                <w:szCs w:val="18"/>
              </w:rPr>
            </w:pPr>
          </w:p>
        </w:tc>
        <w:tc>
          <w:tcPr>
            <w:tcW w:w="1016" w:type="dxa"/>
            <w:shd w:val="clear" w:color="auto" w:fill="auto"/>
            <w:vAlign w:val="center"/>
          </w:tcPr>
          <w:p>
            <w:pPr>
              <w:jc w:val="center"/>
              <w:rPr>
                <w:rFonts w:ascii="宋体" w:hAnsi="宋体" w:cs="宋体"/>
                <w:sz w:val="18"/>
                <w:szCs w:val="18"/>
              </w:rPr>
            </w:pPr>
            <w:r>
              <w:rPr>
                <w:rFonts w:hint="eastAsia" w:ascii="宋体" w:hAnsi="宋体"/>
                <w:sz w:val="18"/>
                <w:szCs w:val="18"/>
              </w:rPr>
              <w:t>人份</w:t>
            </w:r>
          </w:p>
        </w:tc>
        <w:tc>
          <w:tcPr>
            <w:tcW w:w="651" w:type="dxa"/>
            <w:vAlign w:val="center"/>
          </w:tcPr>
          <w:p>
            <w:pPr>
              <w:jc w:val="center"/>
              <w:rPr>
                <w:bCs/>
                <w:sz w:val="18"/>
                <w:szCs w:val="18"/>
              </w:rPr>
            </w:pPr>
          </w:p>
        </w:tc>
        <w:tc>
          <w:tcPr>
            <w:tcW w:w="620" w:type="dxa"/>
          </w:tcPr>
          <w:p>
            <w:pPr>
              <w:widowControl/>
              <w:jc w:val="center"/>
              <w:rPr>
                <w:rFonts w:ascii="宋体" w:hAnsi="宋体" w:cs="宋体"/>
                <w:kern w:val="0"/>
                <w:sz w:val="18"/>
                <w:szCs w:val="18"/>
              </w:rPr>
            </w:pPr>
          </w:p>
        </w:tc>
        <w:tc>
          <w:tcPr>
            <w:tcW w:w="846" w:type="dxa"/>
            <w:vAlign w:val="center"/>
          </w:tcPr>
          <w:p>
            <w:pPr>
              <w:spacing w:line="340" w:lineRule="exact"/>
              <w:jc w:val="center"/>
              <w:rPr>
                <w:rFonts w:ascii="宋体" w:hAnsi="宋体" w:cs="宋体"/>
                <w:sz w:val="24"/>
              </w:rPr>
            </w:pPr>
            <w:r>
              <w:rPr>
                <w:rFonts w:hint="eastAsia" w:ascii="宋体" w:hAnsi="宋体" w:cs="宋体"/>
                <w:color w:val="000000"/>
                <w:szCs w:val="21"/>
                <w:lang w:val="en-US" w:eastAsia="zh-CN"/>
              </w:rPr>
              <w:t>8.4</w:t>
            </w:r>
          </w:p>
        </w:tc>
        <w:tc>
          <w:tcPr>
            <w:tcW w:w="790" w:type="dxa"/>
          </w:tcPr>
          <w:p>
            <w:pPr>
              <w:widowControl/>
              <w:jc w:val="center"/>
              <w:rPr>
                <w:rFonts w:ascii="宋体" w:hAnsi="宋体" w:cs="宋体"/>
                <w:kern w:val="0"/>
                <w:szCs w:val="21"/>
              </w:rPr>
            </w:pPr>
          </w:p>
        </w:tc>
        <w:tc>
          <w:tcPr>
            <w:tcW w:w="529" w:type="dxa"/>
          </w:tcPr>
          <w:p>
            <w:pPr>
              <w:widowControl/>
              <w:jc w:val="center"/>
              <w:rPr>
                <w:rFonts w:ascii="宋体" w:hAnsi="宋体" w:cs="宋体"/>
                <w:kern w:val="0"/>
                <w:szCs w:val="21"/>
              </w:rPr>
            </w:pPr>
          </w:p>
        </w:tc>
        <w:tc>
          <w:tcPr>
            <w:tcW w:w="529" w:type="dxa"/>
          </w:tcPr>
          <w:p>
            <w:pPr>
              <w:widowControl/>
              <w:jc w:val="center"/>
              <w:rPr>
                <w:rFonts w:ascii="宋体" w:hAnsi="宋体" w:cs="宋体"/>
                <w:kern w:val="0"/>
                <w:szCs w:val="21"/>
              </w:rPr>
            </w:pPr>
          </w:p>
        </w:tc>
        <w:tc>
          <w:tcPr>
            <w:tcW w:w="1301" w:type="dxa"/>
            <w:vMerge w:val="continue"/>
          </w:tcPr>
          <w:p>
            <w:pPr>
              <w:widowControl/>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532" w:type="dxa"/>
            <w:shd w:val="clear" w:color="auto" w:fill="auto"/>
            <w:vAlign w:val="center"/>
          </w:tcPr>
          <w:p>
            <w:pPr>
              <w:jc w:val="center"/>
              <w:rPr>
                <w:rFonts w:ascii="宋体" w:hAnsi="宋体" w:cs="宋体"/>
                <w:sz w:val="18"/>
                <w:szCs w:val="18"/>
              </w:rPr>
            </w:pPr>
            <w:r>
              <w:rPr>
                <w:rFonts w:hint="eastAsia" w:ascii="宋体" w:hAnsi="宋体"/>
                <w:sz w:val="18"/>
                <w:szCs w:val="18"/>
              </w:rPr>
              <w:t>7</w:t>
            </w:r>
          </w:p>
        </w:tc>
        <w:tc>
          <w:tcPr>
            <w:tcW w:w="2093" w:type="dxa"/>
            <w:shd w:val="clear" w:color="auto" w:fill="auto"/>
            <w:vAlign w:val="center"/>
          </w:tcPr>
          <w:p>
            <w:pPr>
              <w:widowControl/>
              <w:jc w:val="center"/>
              <w:textAlignment w:val="center"/>
              <w:rPr>
                <w:rFonts w:ascii="宋体" w:hAnsi="宋体" w:cs="宋体"/>
                <w:kern w:val="0"/>
                <w:sz w:val="18"/>
                <w:szCs w:val="18"/>
              </w:rPr>
            </w:pPr>
            <w:r>
              <w:rPr>
                <w:rFonts w:hint="eastAsia" w:ascii="宋体" w:hAnsi="宋体" w:eastAsia="宋体" w:cs="宋体"/>
                <w:b w:val="0"/>
                <w:bCs/>
                <w:kern w:val="0"/>
                <w:sz w:val="18"/>
                <w:szCs w:val="18"/>
              </w:rPr>
              <w:t>心肌肌钙蛋白I测定试剂盒(</w:t>
            </w:r>
            <w:r>
              <w:rPr>
                <w:rFonts w:hint="eastAsia" w:ascii="宋体" w:hAnsi="宋体" w:cs="宋体"/>
                <w:b w:val="0"/>
                <w:bCs/>
                <w:kern w:val="0"/>
                <w:sz w:val="18"/>
                <w:szCs w:val="18"/>
                <w:lang w:eastAsia="zh-CN"/>
              </w:rPr>
              <w:t>免疫荧光</w:t>
            </w:r>
            <w:r>
              <w:rPr>
                <w:rFonts w:hint="eastAsia" w:ascii="宋体" w:hAnsi="宋体" w:eastAsia="宋体" w:cs="宋体"/>
                <w:b w:val="0"/>
                <w:bCs/>
                <w:kern w:val="0"/>
                <w:sz w:val="18"/>
                <w:szCs w:val="18"/>
              </w:rPr>
              <w:t>法</w:t>
            </w:r>
            <w:r>
              <w:rPr>
                <w:rFonts w:hint="eastAsia" w:ascii="宋体" w:hAnsi="宋体" w:eastAsia="宋体" w:cs="宋体"/>
                <w:b w:val="0"/>
                <w:bCs/>
                <w:kern w:val="0"/>
                <w:sz w:val="18"/>
                <w:szCs w:val="18"/>
                <w:lang w:val="en-US" w:eastAsia="zh-CN"/>
              </w:rPr>
              <w:t>)</w:t>
            </w:r>
          </w:p>
        </w:tc>
        <w:tc>
          <w:tcPr>
            <w:tcW w:w="567" w:type="dxa"/>
            <w:vAlign w:val="center"/>
          </w:tcPr>
          <w:p>
            <w:pPr>
              <w:jc w:val="center"/>
              <w:rPr>
                <w:bCs/>
                <w:sz w:val="18"/>
                <w:szCs w:val="18"/>
              </w:rPr>
            </w:pPr>
          </w:p>
        </w:tc>
        <w:tc>
          <w:tcPr>
            <w:tcW w:w="685" w:type="dxa"/>
            <w:shd w:val="clear" w:color="auto" w:fill="auto"/>
            <w:vAlign w:val="center"/>
          </w:tcPr>
          <w:p>
            <w:pPr>
              <w:jc w:val="center"/>
              <w:rPr>
                <w:rFonts w:ascii="宋体" w:hAnsi="宋体" w:cs="宋体"/>
                <w:bCs/>
                <w:sz w:val="18"/>
                <w:szCs w:val="18"/>
              </w:rPr>
            </w:pPr>
          </w:p>
        </w:tc>
        <w:tc>
          <w:tcPr>
            <w:tcW w:w="1016" w:type="dxa"/>
            <w:shd w:val="clear" w:color="auto" w:fill="auto"/>
            <w:vAlign w:val="center"/>
          </w:tcPr>
          <w:p>
            <w:pPr>
              <w:jc w:val="center"/>
              <w:rPr>
                <w:rFonts w:ascii="宋体" w:hAnsi="宋体" w:cs="宋体"/>
                <w:sz w:val="18"/>
                <w:szCs w:val="18"/>
              </w:rPr>
            </w:pPr>
            <w:r>
              <w:rPr>
                <w:rFonts w:hint="eastAsia" w:ascii="宋体" w:hAnsi="宋体"/>
                <w:sz w:val="18"/>
                <w:szCs w:val="18"/>
              </w:rPr>
              <w:t>人份</w:t>
            </w:r>
          </w:p>
        </w:tc>
        <w:tc>
          <w:tcPr>
            <w:tcW w:w="651" w:type="dxa"/>
            <w:vAlign w:val="center"/>
          </w:tcPr>
          <w:p>
            <w:pPr>
              <w:jc w:val="center"/>
              <w:rPr>
                <w:bCs/>
                <w:sz w:val="18"/>
                <w:szCs w:val="18"/>
              </w:rPr>
            </w:pPr>
          </w:p>
        </w:tc>
        <w:tc>
          <w:tcPr>
            <w:tcW w:w="620" w:type="dxa"/>
          </w:tcPr>
          <w:p>
            <w:pPr>
              <w:widowControl/>
              <w:jc w:val="center"/>
              <w:rPr>
                <w:rFonts w:ascii="宋体" w:hAnsi="宋体" w:cs="宋体"/>
                <w:kern w:val="0"/>
                <w:sz w:val="18"/>
                <w:szCs w:val="18"/>
              </w:rPr>
            </w:pPr>
          </w:p>
        </w:tc>
        <w:tc>
          <w:tcPr>
            <w:tcW w:w="846" w:type="dxa"/>
            <w:vAlign w:val="center"/>
          </w:tcPr>
          <w:p>
            <w:pPr>
              <w:spacing w:line="340" w:lineRule="exact"/>
              <w:jc w:val="center"/>
              <w:rPr>
                <w:rFonts w:ascii="宋体" w:hAnsi="宋体" w:cs="宋体"/>
                <w:sz w:val="24"/>
              </w:rPr>
            </w:pPr>
            <w:r>
              <w:rPr>
                <w:rFonts w:hint="eastAsia" w:ascii="宋体" w:hAnsi="宋体" w:cs="宋体"/>
                <w:color w:val="000000"/>
                <w:szCs w:val="21"/>
                <w:lang w:val="en-US" w:eastAsia="zh-CN"/>
              </w:rPr>
              <w:t>17.64</w:t>
            </w:r>
          </w:p>
        </w:tc>
        <w:tc>
          <w:tcPr>
            <w:tcW w:w="790" w:type="dxa"/>
          </w:tcPr>
          <w:p>
            <w:pPr>
              <w:widowControl/>
              <w:jc w:val="center"/>
              <w:rPr>
                <w:rFonts w:ascii="宋体" w:hAnsi="宋体" w:cs="宋体"/>
                <w:kern w:val="0"/>
                <w:szCs w:val="21"/>
              </w:rPr>
            </w:pPr>
          </w:p>
        </w:tc>
        <w:tc>
          <w:tcPr>
            <w:tcW w:w="529" w:type="dxa"/>
          </w:tcPr>
          <w:p>
            <w:pPr>
              <w:widowControl/>
              <w:jc w:val="center"/>
              <w:rPr>
                <w:rFonts w:ascii="宋体" w:hAnsi="宋体" w:cs="宋体"/>
                <w:kern w:val="0"/>
                <w:szCs w:val="21"/>
              </w:rPr>
            </w:pPr>
          </w:p>
        </w:tc>
        <w:tc>
          <w:tcPr>
            <w:tcW w:w="529" w:type="dxa"/>
          </w:tcPr>
          <w:p>
            <w:pPr>
              <w:widowControl/>
              <w:jc w:val="center"/>
              <w:rPr>
                <w:rFonts w:ascii="宋体" w:hAnsi="宋体" w:cs="宋体"/>
                <w:kern w:val="0"/>
                <w:szCs w:val="21"/>
              </w:rPr>
            </w:pPr>
          </w:p>
        </w:tc>
        <w:tc>
          <w:tcPr>
            <w:tcW w:w="1301" w:type="dxa"/>
            <w:vMerge w:val="continue"/>
          </w:tcPr>
          <w:p>
            <w:pPr>
              <w:widowControl/>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532" w:type="dxa"/>
            <w:shd w:val="clear" w:color="auto" w:fill="auto"/>
            <w:vAlign w:val="center"/>
          </w:tcPr>
          <w:p>
            <w:pPr>
              <w:jc w:val="center"/>
              <w:rPr>
                <w:rFonts w:ascii="宋体" w:hAnsi="宋体" w:cs="宋体"/>
                <w:sz w:val="18"/>
                <w:szCs w:val="18"/>
              </w:rPr>
            </w:pPr>
            <w:r>
              <w:rPr>
                <w:rFonts w:hint="eastAsia" w:ascii="宋体" w:hAnsi="宋体"/>
                <w:sz w:val="18"/>
                <w:szCs w:val="18"/>
              </w:rPr>
              <w:t>8</w:t>
            </w:r>
          </w:p>
        </w:tc>
        <w:tc>
          <w:tcPr>
            <w:tcW w:w="2093" w:type="dxa"/>
            <w:shd w:val="clear" w:color="auto" w:fill="auto"/>
            <w:vAlign w:val="center"/>
          </w:tcPr>
          <w:p>
            <w:pPr>
              <w:widowControl/>
              <w:jc w:val="center"/>
              <w:textAlignment w:val="center"/>
              <w:rPr>
                <w:rFonts w:ascii="宋体" w:hAnsi="宋体" w:cs="宋体"/>
                <w:kern w:val="0"/>
                <w:sz w:val="18"/>
                <w:szCs w:val="18"/>
              </w:rPr>
            </w:pPr>
            <w:r>
              <w:rPr>
                <w:rFonts w:hint="eastAsia" w:ascii="宋体" w:hAnsi="宋体" w:eastAsia="宋体" w:cs="宋体"/>
                <w:b w:val="0"/>
                <w:bCs/>
                <w:kern w:val="0"/>
                <w:sz w:val="18"/>
                <w:szCs w:val="18"/>
              </w:rPr>
              <w:t>降钙素原测定试剂盒(</w:t>
            </w:r>
            <w:r>
              <w:rPr>
                <w:rFonts w:hint="eastAsia" w:ascii="宋体" w:hAnsi="宋体" w:cs="宋体"/>
                <w:b w:val="0"/>
                <w:bCs/>
                <w:kern w:val="0"/>
                <w:sz w:val="18"/>
                <w:szCs w:val="18"/>
                <w:lang w:eastAsia="zh-CN"/>
              </w:rPr>
              <w:t>免疫荧光</w:t>
            </w:r>
            <w:r>
              <w:rPr>
                <w:rFonts w:hint="eastAsia" w:ascii="宋体" w:hAnsi="宋体" w:eastAsia="宋体" w:cs="宋体"/>
                <w:b w:val="0"/>
                <w:bCs/>
                <w:kern w:val="0"/>
                <w:sz w:val="18"/>
                <w:szCs w:val="18"/>
              </w:rPr>
              <w:t>法)</w:t>
            </w:r>
          </w:p>
        </w:tc>
        <w:tc>
          <w:tcPr>
            <w:tcW w:w="567" w:type="dxa"/>
            <w:vAlign w:val="center"/>
          </w:tcPr>
          <w:p>
            <w:pPr>
              <w:jc w:val="center"/>
              <w:rPr>
                <w:bCs/>
                <w:sz w:val="18"/>
                <w:szCs w:val="18"/>
              </w:rPr>
            </w:pPr>
          </w:p>
        </w:tc>
        <w:tc>
          <w:tcPr>
            <w:tcW w:w="685" w:type="dxa"/>
            <w:shd w:val="clear" w:color="auto" w:fill="auto"/>
            <w:vAlign w:val="center"/>
          </w:tcPr>
          <w:p>
            <w:pPr>
              <w:jc w:val="center"/>
              <w:rPr>
                <w:rFonts w:ascii="宋体" w:hAnsi="宋体" w:cs="宋体"/>
                <w:bCs/>
                <w:sz w:val="18"/>
                <w:szCs w:val="18"/>
              </w:rPr>
            </w:pPr>
          </w:p>
        </w:tc>
        <w:tc>
          <w:tcPr>
            <w:tcW w:w="1016" w:type="dxa"/>
            <w:shd w:val="clear" w:color="auto" w:fill="auto"/>
            <w:vAlign w:val="center"/>
          </w:tcPr>
          <w:p>
            <w:pPr>
              <w:jc w:val="center"/>
              <w:rPr>
                <w:rFonts w:ascii="宋体" w:hAnsi="宋体" w:cs="宋体"/>
                <w:sz w:val="18"/>
                <w:szCs w:val="18"/>
              </w:rPr>
            </w:pPr>
            <w:r>
              <w:rPr>
                <w:rFonts w:hint="eastAsia" w:ascii="宋体" w:hAnsi="宋体"/>
                <w:sz w:val="18"/>
                <w:szCs w:val="18"/>
              </w:rPr>
              <w:t>人份</w:t>
            </w:r>
          </w:p>
        </w:tc>
        <w:tc>
          <w:tcPr>
            <w:tcW w:w="651" w:type="dxa"/>
            <w:vAlign w:val="center"/>
          </w:tcPr>
          <w:p>
            <w:pPr>
              <w:jc w:val="center"/>
              <w:rPr>
                <w:bCs/>
                <w:sz w:val="18"/>
                <w:szCs w:val="18"/>
              </w:rPr>
            </w:pPr>
          </w:p>
        </w:tc>
        <w:tc>
          <w:tcPr>
            <w:tcW w:w="620" w:type="dxa"/>
          </w:tcPr>
          <w:p>
            <w:pPr>
              <w:widowControl/>
              <w:jc w:val="center"/>
              <w:rPr>
                <w:rFonts w:ascii="宋体" w:hAnsi="宋体" w:cs="宋体"/>
                <w:kern w:val="0"/>
                <w:sz w:val="18"/>
                <w:szCs w:val="18"/>
              </w:rPr>
            </w:pPr>
          </w:p>
        </w:tc>
        <w:tc>
          <w:tcPr>
            <w:tcW w:w="846" w:type="dxa"/>
            <w:vAlign w:val="center"/>
          </w:tcPr>
          <w:p>
            <w:pPr>
              <w:spacing w:line="340" w:lineRule="exact"/>
              <w:jc w:val="center"/>
              <w:rPr>
                <w:rFonts w:ascii="宋体" w:hAnsi="宋体" w:cs="宋体"/>
                <w:sz w:val="24"/>
              </w:rPr>
            </w:pPr>
            <w:r>
              <w:rPr>
                <w:rFonts w:hint="eastAsia" w:ascii="宋体" w:hAnsi="宋体" w:cs="宋体"/>
                <w:color w:val="000000"/>
                <w:szCs w:val="21"/>
                <w:lang w:val="en-US" w:eastAsia="zh-CN"/>
              </w:rPr>
              <w:t>15.68</w:t>
            </w:r>
          </w:p>
        </w:tc>
        <w:tc>
          <w:tcPr>
            <w:tcW w:w="790" w:type="dxa"/>
          </w:tcPr>
          <w:p>
            <w:pPr>
              <w:widowControl/>
              <w:jc w:val="center"/>
              <w:rPr>
                <w:rFonts w:ascii="宋体" w:hAnsi="宋体" w:cs="宋体"/>
                <w:kern w:val="0"/>
                <w:szCs w:val="21"/>
              </w:rPr>
            </w:pPr>
          </w:p>
        </w:tc>
        <w:tc>
          <w:tcPr>
            <w:tcW w:w="529" w:type="dxa"/>
          </w:tcPr>
          <w:p>
            <w:pPr>
              <w:widowControl/>
              <w:jc w:val="center"/>
              <w:rPr>
                <w:rFonts w:ascii="宋体" w:hAnsi="宋体" w:cs="宋体"/>
                <w:kern w:val="0"/>
                <w:szCs w:val="21"/>
              </w:rPr>
            </w:pPr>
          </w:p>
        </w:tc>
        <w:tc>
          <w:tcPr>
            <w:tcW w:w="529" w:type="dxa"/>
          </w:tcPr>
          <w:p>
            <w:pPr>
              <w:widowControl/>
              <w:jc w:val="center"/>
              <w:rPr>
                <w:rFonts w:ascii="宋体" w:hAnsi="宋体" w:cs="宋体"/>
                <w:kern w:val="0"/>
                <w:szCs w:val="21"/>
              </w:rPr>
            </w:pPr>
          </w:p>
        </w:tc>
        <w:tc>
          <w:tcPr>
            <w:tcW w:w="1301" w:type="dxa"/>
            <w:vMerge w:val="continue"/>
          </w:tcPr>
          <w:p>
            <w:pPr>
              <w:widowControl/>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532" w:type="dxa"/>
            <w:shd w:val="clear" w:color="auto" w:fill="auto"/>
            <w:vAlign w:val="center"/>
          </w:tcPr>
          <w:p>
            <w:pPr>
              <w:jc w:val="center"/>
              <w:rPr>
                <w:rFonts w:ascii="宋体" w:hAnsi="宋体" w:cs="宋体"/>
                <w:sz w:val="18"/>
                <w:szCs w:val="18"/>
              </w:rPr>
            </w:pPr>
            <w:r>
              <w:rPr>
                <w:rFonts w:hint="eastAsia" w:ascii="宋体" w:hAnsi="宋体"/>
                <w:sz w:val="18"/>
                <w:szCs w:val="18"/>
              </w:rPr>
              <w:t>9</w:t>
            </w:r>
          </w:p>
        </w:tc>
        <w:tc>
          <w:tcPr>
            <w:tcW w:w="2093" w:type="dxa"/>
            <w:shd w:val="clear" w:color="auto" w:fill="auto"/>
            <w:vAlign w:val="center"/>
          </w:tcPr>
          <w:p>
            <w:pPr>
              <w:widowControl/>
              <w:jc w:val="center"/>
              <w:textAlignment w:val="center"/>
              <w:rPr>
                <w:rFonts w:ascii="宋体" w:hAnsi="宋体" w:cs="宋体"/>
                <w:kern w:val="0"/>
                <w:sz w:val="18"/>
                <w:szCs w:val="18"/>
              </w:rPr>
            </w:pPr>
            <w:r>
              <w:rPr>
                <w:rFonts w:hint="eastAsia" w:ascii="宋体" w:hAnsi="宋体" w:eastAsia="宋体" w:cs="宋体"/>
                <w:b w:val="0"/>
                <w:bCs/>
                <w:kern w:val="0"/>
                <w:sz w:val="18"/>
                <w:szCs w:val="18"/>
              </w:rPr>
              <w:t>D-二聚体测定试剂盒(</w:t>
            </w:r>
            <w:r>
              <w:rPr>
                <w:rFonts w:hint="eastAsia" w:ascii="宋体" w:hAnsi="宋体" w:cs="宋体"/>
                <w:b w:val="0"/>
                <w:bCs/>
                <w:kern w:val="0"/>
                <w:sz w:val="18"/>
                <w:szCs w:val="18"/>
                <w:lang w:eastAsia="zh-CN"/>
              </w:rPr>
              <w:t>免疫荧光</w:t>
            </w:r>
            <w:r>
              <w:rPr>
                <w:rFonts w:hint="eastAsia" w:ascii="宋体" w:hAnsi="宋体" w:eastAsia="宋体" w:cs="宋体"/>
                <w:b w:val="0"/>
                <w:bCs/>
                <w:kern w:val="0"/>
                <w:sz w:val="18"/>
                <w:szCs w:val="18"/>
              </w:rPr>
              <w:t>法)</w:t>
            </w:r>
          </w:p>
        </w:tc>
        <w:tc>
          <w:tcPr>
            <w:tcW w:w="567" w:type="dxa"/>
            <w:vAlign w:val="center"/>
          </w:tcPr>
          <w:p>
            <w:pPr>
              <w:jc w:val="center"/>
              <w:rPr>
                <w:bCs/>
                <w:sz w:val="18"/>
                <w:szCs w:val="18"/>
              </w:rPr>
            </w:pPr>
          </w:p>
        </w:tc>
        <w:tc>
          <w:tcPr>
            <w:tcW w:w="685" w:type="dxa"/>
            <w:shd w:val="clear" w:color="auto" w:fill="auto"/>
            <w:vAlign w:val="center"/>
          </w:tcPr>
          <w:p>
            <w:pPr>
              <w:jc w:val="center"/>
              <w:rPr>
                <w:rFonts w:ascii="宋体" w:hAnsi="宋体" w:cs="宋体"/>
                <w:bCs/>
                <w:sz w:val="18"/>
                <w:szCs w:val="18"/>
              </w:rPr>
            </w:pPr>
          </w:p>
        </w:tc>
        <w:tc>
          <w:tcPr>
            <w:tcW w:w="1016" w:type="dxa"/>
            <w:shd w:val="clear" w:color="auto" w:fill="auto"/>
            <w:vAlign w:val="center"/>
          </w:tcPr>
          <w:p>
            <w:pPr>
              <w:jc w:val="center"/>
              <w:rPr>
                <w:rFonts w:ascii="宋体" w:hAnsi="宋体" w:cs="宋体"/>
                <w:sz w:val="18"/>
                <w:szCs w:val="18"/>
              </w:rPr>
            </w:pPr>
            <w:r>
              <w:rPr>
                <w:rFonts w:hint="eastAsia" w:ascii="宋体" w:hAnsi="宋体"/>
                <w:sz w:val="18"/>
                <w:szCs w:val="18"/>
              </w:rPr>
              <w:t>人份</w:t>
            </w:r>
          </w:p>
        </w:tc>
        <w:tc>
          <w:tcPr>
            <w:tcW w:w="651" w:type="dxa"/>
            <w:vAlign w:val="center"/>
          </w:tcPr>
          <w:p>
            <w:pPr>
              <w:jc w:val="center"/>
              <w:rPr>
                <w:bCs/>
                <w:sz w:val="18"/>
                <w:szCs w:val="18"/>
              </w:rPr>
            </w:pPr>
          </w:p>
        </w:tc>
        <w:tc>
          <w:tcPr>
            <w:tcW w:w="620" w:type="dxa"/>
          </w:tcPr>
          <w:p>
            <w:pPr>
              <w:widowControl/>
              <w:jc w:val="center"/>
              <w:rPr>
                <w:rFonts w:ascii="宋体" w:hAnsi="宋体" w:cs="宋体"/>
                <w:kern w:val="0"/>
                <w:sz w:val="18"/>
                <w:szCs w:val="18"/>
              </w:rPr>
            </w:pPr>
          </w:p>
        </w:tc>
        <w:tc>
          <w:tcPr>
            <w:tcW w:w="846" w:type="dxa"/>
            <w:vAlign w:val="center"/>
          </w:tcPr>
          <w:p>
            <w:pPr>
              <w:spacing w:line="340" w:lineRule="exact"/>
              <w:jc w:val="center"/>
              <w:rPr>
                <w:rFonts w:ascii="宋体" w:hAnsi="宋体" w:cs="宋体"/>
                <w:sz w:val="24"/>
              </w:rPr>
            </w:pPr>
            <w:r>
              <w:rPr>
                <w:rFonts w:hint="eastAsia" w:ascii="宋体" w:hAnsi="宋体" w:cs="宋体"/>
                <w:color w:val="000000"/>
                <w:szCs w:val="21"/>
                <w:lang w:val="en-US" w:eastAsia="zh-CN"/>
              </w:rPr>
              <w:t>8.92</w:t>
            </w:r>
          </w:p>
        </w:tc>
        <w:tc>
          <w:tcPr>
            <w:tcW w:w="790" w:type="dxa"/>
          </w:tcPr>
          <w:p>
            <w:pPr>
              <w:widowControl/>
              <w:jc w:val="center"/>
              <w:rPr>
                <w:rFonts w:ascii="宋体" w:hAnsi="宋体" w:cs="宋体"/>
                <w:kern w:val="0"/>
                <w:szCs w:val="21"/>
              </w:rPr>
            </w:pPr>
          </w:p>
        </w:tc>
        <w:tc>
          <w:tcPr>
            <w:tcW w:w="529" w:type="dxa"/>
          </w:tcPr>
          <w:p>
            <w:pPr>
              <w:widowControl/>
              <w:jc w:val="center"/>
              <w:rPr>
                <w:rFonts w:ascii="宋体" w:hAnsi="宋体" w:cs="宋体"/>
                <w:kern w:val="0"/>
                <w:szCs w:val="21"/>
              </w:rPr>
            </w:pPr>
          </w:p>
        </w:tc>
        <w:tc>
          <w:tcPr>
            <w:tcW w:w="529" w:type="dxa"/>
          </w:tcPr>
          <w:p>
            <w:pPr>
              <w:widowControl/>
              <w:jc w:val="center"/>
              <w:rPr>
                <w:rFonts w:ascii="宋体" w:hAnsi="宋体" w:cs="宋体"/>
                <w:kern w:val="0"/>
                <w:szCs w:val="21"/>
              </w:rPr>
            </w:pPr>
          </w:p>
        </w:tc>
        <w:tc>
          <w:tcPr>
            <w:tcW w:w="1301" w:type="dxa"/>
            <w:vMerge w:val="continue"/>
          </w:tcPr>
          <w:p>
            <w:pPr>
              <w:widowControl/>
              <w:jc w:val="center"/>
              <w:rPr>
                <w:rFonts w:ascii="宋体" w:hAnsi="宋体" w:cs="宋体"/>
                <w:kern w:val="0"/>
                <w:szCs w:val="21"/>
              </w:rPr>
            </w:pPr>
          </w:p>
        </w:tc>
      </w:tr>
    </w:tbl>
    <w:p>
      <w:pPr>
        <w:pStyle w:val="8"/>
        <w:spacing w:before="0" w:beforeAutospacing="0" w:after="0" w:afterAutospacing="0" w:line="560" w:lineRule="exact"/>
        <w:rPr>
          <w:rFonts w:asciiTheme="minorEastAsia" w:hAnsiTheme="minorEastAsia"/>
          <w:b/>
          <w:bCs/>
        </w:rPr>
      </w:pPr>
    </w:p>
    <w:p>
      <w:pPr>
        <w:pStyle w:val="8"/>
        <w:spacing w:before="0" w:beforeAutospacing="0" w:after="0" w:afterAutospacing="0" w:line="560" w:lineRule="exact"/>
        <w:rPr>
          <w:rFonts w:asciiTheme="minorEastAsia" w:hAnsiTheme="minorEastAsia"/>
          <w:b/>
          <w:bCs/>
        </w:rPr>
      </w:pPr>
      <w:r>
        <w:rPr>
          <w:rFonts w:hint="eastAsia" w:asciiTheme="minorEastAsia" w:hAnsiTheme="minorEastAsia"/>
          <w:b/>
          <w:bCs/>
        </w:rPr>
        <w:t>九、投标文件格式</w:t>
      </w:r>
    </w:p>
    <w:p>
      <w:pPr>
        <w:snapToGrid w:val="0"/>
        <w:spacing w:line="560" w:lineRule="exact"/>
        <w:jc w:val="left"/>
        <w:rPr>
          <w:rFonts w:asciiTheme="minorEastAsia" w:hAnsiTheme="minorEastAsia"/>
          <w:sz w:val="24"/>
        </w:rPr>
      </w:pPr>
      <w:r>
        <w:rPr>
          <w:rFonts w:hint="eastAsia" w:asciiTheme="minorEastAsia" w:hAnsiTheme="minorEastAsia"/>
          <w:sz w:val="24"/>
        </w:rPr>
        <w:t>1、投标者需将投标资料密封在档案袋内，密封袋封面应分别写明招标人和项目名称，并注明“开标时间以前不得开封”字样，加盖公章。</w:t>
      </w:r>
    </w:p>
    <w:p>
      <w:pPr>
        <w:snapToGrid w:val="0"/>
        <w:spacing w:line="560" w:lineRule="exact"/>
        <w:jc w:val="left"/>
        <w:rPr>
          <w:rFonts w:asciiTheme="minorEastAsia" w:hAnsiTheme="minorEastAsia"/>
          <w:sz w:val="24"/>
        </w:rPr>
      </w:pPr>
      <w:r>
        <w:rPr>
          <w:rFonts w:hint="eastAsia" w:asciiTheme="minorEastAsia" w:hAnsiTheme="minorEastAsia"/>
          <w:sz w:val="24"/>
        </w:rPr>
        <w:t>2、投标文件：正本一份，副本四份。装订方式为胶装。（正本彩印,副本可为复印件。正副本均需加盖骑缝章）</w:t>
      </w:r>
    </w:p>
    <w:p>
      <w:pPr>
        <w:snapToGrid w:val="0"/>
        <w:spacing w:line="560" w:lineRule="exact"/>
        <w:jc w:val="left"/>
        <w:rPr>
          <w:rFonts w:asciiTheme="minorEastAsia" w:hAnsiTheme="minorEastAsia"/>
          <w:sz w:val="24"/>
        </w:rPr>
      </w:pPr>
      <w:r>
        <w:rPr>
          <w:rFonts w:hint="eastAsia" w:asciiTheme="minorEastAsia" w:hAnsiTheme="minorEastAsia"/>
          <w:sz w:val="24"/>
        </w:rPr>
        <w:t>3、标书封面须有以下内容</w:t>
      </w:r>
    </w:p>
    <w:p>
      <w:pPr>
        <w:snapToGrid w:val="0"/>
        <w:spacing w:line="560" w:lineRule="exact"/>
        <w:jc w:val="left"/>
        <w:rPr>
          <w:rFonts w:asciiTheme="minorEastAsia" w:hAnsiTheme="minorEastAsia"/>
          <w:sz w:val="24"/>
        </w:rPr>
      </w:pPr>
      <w:r>
        <w:rPr>
          <w:rFonts w:hint="eastAsia" w:asciiTheme="minorEastAsia" w:hAnsiTheme="minorEastAsia"/>
          <w:sz w:val="24"/>
        </w:rPr>
        <w:t>（1）投标公司全称及正本或副本标识；</w:t>
      </w:r>
    </w:p>
    <w:p>
      <w:pPr>
        <w:snapToGrid w:val="0"/>
        <w:spacing w:line="560" w:lineRule="exact"/>
        <w:jc w:val="left"/>
        <w:rPr>
          <w:rFonts w:asciiTheme="minorEastAsia" w:hAnsiTheme="minorEastAsia"/>
          <w:sz w:val="24"/>
        </w:rPr>
      </w:pPr>
      <w:r>
        <w:rPr>
          <w:rFonts w:hint="eastAsia" w:asciiTheme="minorEastAsia" w:hAnsiTheme="minorEastAsia"/>
          <w:sz w:val="24"/>
        </w:rPr>
        <w:t>（2）投标项目名称；</w:t>
      </w:r>
    </w:p>
    <w:p>
      <w:pPr>
        <w:snapToGrid w:val="0"/>
        <w:spacing w:line="560" w:lineRule="exact"/>
        <w:jc w:val="left"/>
        <w:rPr>
          <w:rFonts w:asciiTheme="minorEastAsia" w:hAnsiTheme="minorEastAsia"/>
          <w:sz w:val="24"/>
        </w:rPr>
      </w:pPr>
      <w:r>
        <w:rPr>
          <w:rFonts w:hint="eastAsia" w:asciiTheme="minorEastAsia" w:hAnsiTheme="minorEastAsia"/>
          <w:sz w:val="24"/>
        </w:rPr>
        <w:t>（3）投标公司联系人及联系方式；</w:t>
      </w:r>
    </w:p>
    <w:p>
      <w:pPr>
        <w:snapToGrid w:val="0"/>
        <w:spacing w:line="560" w:lineRule="exact"/>
        <w:jc w:val="left"/>
        <w:rPr>
          <w:rFonts w:asciiTheme="minorEastAsia" w:hAnsiTheme="minorEastAsia"/>
          <w:sz w:val="24"/>
        </w:rPr>
      </w:pPr>
      <w:r>
        <w:rPr>
          <w:rFonts w:hint="eastAsia" w:asciiTheme="minorEastAsia" w:hAnsiTheme="minorEastAsia"/>
          <w:sz w:val="24"/>
        </w:rPr>
        <w:t>（4）投标日期。</w:t>
      </w:r>
    </w:p>
    <w:p>
      <w:pPr>
        <w:snapToGrid w:val="0"/>
        <w:spacing w:line="560" w:lineRule="exact"/>
        <w:jc w:val="left"/>
        <w:rPr>
          <w:rFonts w:asciiTheme="minorEastAsia" w:hAnsiTheme="minorEastAsia"/>
          <w:sz w:val="24"/>
        </w:rPr>
      </w:pPr>
      <w:r>
        <w:rPr>
          <w:rFonts w:hint="eastAsia" w:asciiTheme="minorEastAsia" w:hAnsiTheme="minorEastAsia"/>
          <w:sz w:val="24"/>
        </w:rPr>
        <w:t>4、标书内首页应为目录及对应页码（目录中的内容顺序应与招标文件所包含的项目一致）。</w:t>
      </w:r>
    </w:p>
    <w:p>
      <w:pPr>
        <w:snapToGrid w:val="0"/>
        <w:spacing w:line="360" w:lineRule="auto"/>
        <w:jc w:val="left"/>
        <w:rPr>
          <w:rFonts w:cs="仿宋" w:asciiTheme="minorEastAsia" w:hAnsiTheme="minorEastAsia"/>
          <w:b/>
          <w:sz w:val="24"/>
        </w:rPr>
      </w:pPr>
      <w:r>
        <w:rPr>
          <w:rFonts w:hint="eastAsia" w:cs="仿宋" w:asciiTheme="minorEastAsia" w:hAnsiTheme="minorEastAsia"/>
          <w:b/>
          <w:sz w:val="24"/>
        </w:rPr>
        <w:t>十、投标文件包含项目</w:t>
      </w:r>
    </w:p>
    <w:tbl>
      <w:tblPr>
        <w:tblStyle w:val="13"/>
        <w:tblW w:w="8237" w:type="dxa"/>
        <w:tblInd w:w="0" w:type="dxa"/>
        <w:tblLayout w:type="fixed"/>
        <w:tblCellMar>
          <w:top w:w="0" w:type="dxa"/>
          <w:left w:w="0" w:type="dxa"/>
          <w:bottom w:w="0" w:type="dxa"/>
          <w:right w:w="0" w:type="dxa"/>
        </w:tblCellMar>
      </w:tblPr>
      <w:tblGrid>
        <w:gridCol w:w="767"/>
        <w:gridCol w:w="1651"/>
        <w:gridCol w:w="5819"/>
      </w:tblGrid>
      <w:tr>
        <w:tblPrEx>
          <w:tblLayout w:type="fixed"/>
          <w:tblCellMar>
            <w:top w:w="0" w:type="dxa"/>
            <w:left w:w="0" w:type="dxa"/>
            <w:bottom w:w="0" w:type="dxa"/>
            <w:right w:w="0" w:type="dxa"/>
          </w:tblCellMar>
        </w:tblPrEx>
        <w:trPr>
          <w:trHeight w:val="404" w:hRule="atLeast"/>
        </w:trPr>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jc w:val="center"/>
              <w:rPr>
                <w:rFonts w:cs="宋体" w:asciiTheme="minorEastAsia" w:hAnsiTheme="minorEastAsia"/>
                <w:sz w:val="24"/>
              </w:rPr>
            </w:pPr>
            <w:r>
              <w:rPr>
                <w:rFonts w:hint="eastAsia" w:cs="宋体" w:asciiTheme="minorEastAsia" w:hAnsiTheme="minorEastAsia"/>
                <w:sz w:val="24"/>
              </w:rPr>
              <w:t>序号</w:t>
            </w:r>
          </w:p>
        </w:tc>
        <w:tc>
          <w:tcPr>
            <w:tcW w:w="16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center"/>
              <w:textAlignment w:val="bottom"/>
              <w:rPr>
                <w:rFonts w:cs="华文仿宋" w:asciiTheme="minorEastAsia" w:hAnsiTheme="minorEastAsia"/>
                <w:sz w:val="24"/>
              </w:rPr>
            </w:pPr>
            <w:r>
              <w:rPr>
                <w:rFonts w:hint="eastAsia" w:cs="华文仿宋" w:asciiTheme="minorEastAsia" w:hAnsiTheme="minorEastAsia"/>
                <w:kern w:val="0"/>
                <w:sz w:val="24"/>
              </w:rPr>
              <w:t>投标文件</w:t>
            </w:r>
          </w:p>
        </w:tc>
        <w:tc>
          <w:tcPr>
            <w:tcW w:w="581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center"/>
              <w:textAlignment w:val="bottom"/>
              <w:rPr>
                <w:rFonts w:cs="华文仿宋" w:asciiTheme="minorEastAsia" w:hAnsiTheme="minorEastAsia"/>
                <w:sz w:val="24"/>
              </w:rPr>
            </w:pPr>
            <w:r>
              <w:rPr>
                <w:rFonts w:hint="eastAsia" w:cs="华文仿宋" w:asciiTheme="minorEastAsia" w:hAnsiTheme="minorEastAsia"/>
                <w:kern w:val="0"/>
                <w:sz w:val="24"/>
              </w:rPr>
              <w:t>包含项目</w:t>
            </w:r>
          </w:p>
        </w:tc>
      </w:tr>
      <w:tr>
        <w:tblPrEx>
          <w:tblLayout w:type="fixed"/>
          <w:tblCellMar>
            <w:top w:w="0" w:type="dxa"/>
            <w:left w:w="0" w:type="dxa"/>
            <w:bottom w:w="0" w:type="dxa"/>
            <w:right w:w="0" w:type="dxa"/>
          </w:tblCellMar>
        </w:tblPrEx>
        <w:trPr>
          <w:trHeight w:val="364" w:hRule="atLeast"/>
        </w:trPr>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center"/>
              <w:textAlignment w:val="bottom"/>
              <w:rPr>
                <w:rFonts w:cs="宋体" w:asciiTheme="minorEastAsia" w:hAnsiTheme="minorEastAsia"/>
                <w:sz w:val="24"/>
              </w:rPr>
            </w:pPr>
            <w:r>
              <w:rPr>
                <w:rFonts w:hint="eastAsia" w:cs="宋体" w:asciiTheme="minorEastAsia" w:hAnsiTheme="minorEastAsia"/>
                <w:kern w:val="0"/>
                <w:sz w:val="24"/>
              </w:rPr>
              <w:t>1</w:t>
            </w:r>
          </w:p>
        </w:tc>
        <w:tc>
          <w:tcPr>
            <w:tcW w:w="1651" w:type="dxa"/>
            <w:vMerge w:val="restart"/>
            <w:tcBorders>
              <w:top w:val="single" w:color="000000" w:sz="4" w:space="0"/>
              <w:left w:val="single" w:color="000000" w:sz="4" w:space="0"/>
              <w:right w:val="single" w:color="000000" w:sz="4" w:space="0"/>
            </w:tcBorders>
            <w:tcMar>
              <w:top w:w="15" w:type="dxa"/>
              <w:left w:w="15" w:type="dxa"/>
              <w:bottom w:w="0" w:type="dxa"/>
              <w:right w:w="15" w:type="dxa"/>
            </w:tcMar>
            <w:vAlign w:val="center"/>
          </w:tcPr>
          <w:p>
            <w:pPr>
              <w:widowControl/>
              <w:jc w:val="center"/>
              <w:textAlignment w:val="bottom"/>
              <w:rPr>
                <w:rFonts w:cs="华文仿宋" w:asciiTheme="minorEastAsia" w:hAnsiTheme="minorEastAsia"/>
                <w:kern w:val="0"/>
                <w:sz w:val="24"/>
              </w:rPr>
            </w:pPr>
            <w:r>
              <w:rPr>
                <w:rFonts w:hint="eastAsia" w:cs="华文仿宋" w:asciiTheme="minorEastAsia" w:hAnsiTheme="minorEastAsia"/>
                <w:kern w:val="0"/>
                <w:sz w:val="24"/>
              </w:rPr>
              <w:t>生产厂家资质</w:t>
            </w:r>
          </w:p>
        </w:tc>
        <w:tc>
          <w:tcPr>
            <w:tcW w:w="5819" w:type="dxa"/>
            <w:tcBorders>
              <w:top w:val="single" w:color="000000" w:sz="4" w:space="0"/>
              <w:left w:val="single" w:color="000000" w:sz="4" w:space="0"/>
              <w:bottom w:val="single" w:color="auto" w:sz="4" w:space="0"/>
              <w:right w:val="single" w:color="000000" w:sz="4" w:space="0"/>
            </w:tcBorders>
            <w:tcMar>
              <w:top w:w="15" w:type="dxa"/>
              <w:left w:w="15" w:type="dxa"/>
              <w:bottom w:w="0" w:type="dxa"/>
              <w:right w:w="15" w:type="dxa"/>
            </w:tcMar>
            <w:vAlign w:val="bottom"/>
          </w:tcPr>
          <w:p>
            <w:pPr>
              <w:widowControl/>
              <w:jc w:val="left"/>
              <w:textAlignment w:val="bottom"/>
              <w:rPr>
                <w:rFonts w:cs="华文仿宋" w:asciiTheme="minorEastAsia" w:hAnsiTheme="minorEastAsia"/>
                <w:kern w:val="0"/>
                <w:sz w:val="24"/>
              </w:rPr>
            </w:pPr>
            <w:r>
              <w:rPr>
                <w:rFonts w:hint="eastAsia" w:cs="华文仿宋" w:asciiTheme="minorEastAsia" w:hAnsiTheme="minorEastAsia"/>
                <w:kern w:val="0"/>
                <w:sz w:val="24"/>
              </w:rPr>
              <w:t>生产厂家营业资质</w:t>
            </w:r>
          </w:p>
        </w:tc>
      </w:tr>
      <w:tr>
        <w:tblPrEx>
          <w:tblLayout w:type="fixed"/>
          <w:tblCellMar>
            <w:top w:w="0" w:type="dxa"/>
            <w:left w:w="0" w:type="dxa"/>
            <w:bottom w:w="0" w:type="dxa"/>
            <w:right w:w="0" w:type="dxa"/>
          </w:tblCellMar>
        </w:tblPrEx>
        <w:trPr>
          <w:trHeight w:val="364" w:hRule="atLeast"/>
        </w:trPr>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center"/>
              <w:textAlignment w:val="bottom"/>
              <w:rPr>
                <w:rFonts w:cs="宋体" w:asciiTheme="minorEastAsia" w:hAnsiTheme="minorEastAsia"/>
                <w:kern w:val="0"/>
                <w:sz w:val="24"/>
              </w:rPr>
            </w:pPr>
            <w:r>
              <w:rPr>
                <w:rFonts w:hint="eastAsia" w:cs="宋体" w:asciiTheme="minorEastAsia" w:hAnsiTheme="minorEastAsia"/>
                <w:kern w:val="0"/>
                <w:sz w:val="24"/>
              </w:rPr>
              <w:t>2</w:t>
            </w:r>
          </w:p>
        </w:tc>
        <w:tc>
          <w:tcPr>
            <w:tcW w:w="1651" w:type="dxa"/>
            <w:vMerge w:val="continue"/>
            <w:tcBorders>
              <w:left w:val="single" w:color="000000" w:sz="4" w:space="0"/>
              <w:right w:val="single" w:color="000000" w:sz="4" w:space="0"/>
            </w:tcBorders>
            <w:tcMar>
              <w:top w:w="15" w:type="dxa"/>
              <w:left w:w="15" w:type="dxa"/>
              <w:bottom w:w="0" w:type="dxa"/>
              <w:right w:w="15" w:type="dxa"/>
            </w:tcMar>
            <w:vAlign w:val="center"/>
          </w:tcPr>
          <w:p>
            <w:pPr>
              <w:widowControl/>
              <w:jc w:val="center"/>
              <w:textAlignment w:val="bottom"/>
              <w:rPr>
                <w:rFonts w:cs="华文仿宋" w:asciiTheme="minorEastAsia" w:hAnsiTheme="minorEastAsia"/>
                <w:kern w:val="0"/>
                <w:sz w:val="24"/>
              </w:rPr>
            </w:pPr>
          </w:p>
        </w:tc>
        <w:tc>
          <w:tcPr>
            <w:tcW w:w="5819" w:type="dxa"/>
            <w:tcBorders>
              <w:top w:val="single" w:color="000000" w:sz="4" w:space="0"/>
              <w:left w:val="single" w:color="000000" w:sz="4" w:space="0"/>
              <w:bottom w:val="single" w:color="auto" w:sz="4" w:space="0"/>
              <w:right w:val="single" w:color="000000" w:sz="4" w:space="0"/>
            </w:tcBorders>
            <w:tcMar>
              <w:top w:w="15" w:type="dxa"/>
              <w:left w:w="15" w:type="dxa"/>
              <w:bottom w:w="0" w:type="dxa"/>
              <w:right w:w="15" w:type="dxa"/>
            </w:tcMar>
            <w:vAlign w:val="bottom"/>
          </w:tcPr>
          <w:p>
            <w:pPr>
              <w:widowControl/>
              <w:jc w:val="left"/>
              <w:textAlignment w:val="bottom"/>
              <w:rPr>
                <w:rFonts w:cs="华文仿宋" w:asciiTheme="minorEastAsia" w:hAnsiTheme="minorEastAsia"/>
                <w:kern w:val="0"/>
                <w:sz w:val="24"/>
              </w:rPr>
            </w:pPr>
            <w:r>
              <w:rPr>
                <w:rFonts w:hint="eastAsia" w:cs="华文仿宋" w:asciiTheme="minorEastAsia" w:hAnsiTheme="minorEastAsia"/>
                <w:kern w:val="0"/>
                <w:sz w:val="24"/>
              </w:rPr>
              <w:t>企业法人营业执照（三证合一）</w:t>
            </w:r>
          </w:p>
        </w:tc>
      </w:tr>
      <w:tr>
        <w:tblPrEx>
          <w:tblLayout w:type="fixed"/>
          <w:tblCellMar>
            <w:top w:w="0" w:type="dxa"/>
            <w:left w:w="0" w:type="dxa"/>
            <w:bottom w:w="0" w:type="dxa"/>
            <w:right w:w="0" w:type="dxa"/>
          </w:tblCellMar>
        </w:tblPrEx>
        <w:trPr>
          <w:trHeight w:val="249" w:hRule="atLeast"/>
        </w:trPr>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jc w:val="center"/>
            </w:pPr>
            <w:r>
              <w:t>3</w:t>
            </w:r>
          </w:p>
        </w:tc>
        <w:tc>
          <w:tcPr>
            <w:tcW w:w="1651" w:type="dxa"/>
            <w:vMerge w:val="continue"/>
            <w:tcBorders>
              <w:left w:val="single" w:color="000000" w:sz="4" w:space="0"/>
              <w:right w:val="single" w:color="000000" w:sz="4" w:space="0"/>
            </w:tcBorders>
            <w:vAlign w:val="center"/>
          </w:tcPr>
          <w:p>
            <w:pPr>
              <w:widowControl/>
              <w:jc w:val="left"/>
              <w:rPr>
                <w:rFonts w:cs="华文仿宋" w:asciiTheme="minorEastAsia" w:hAnsiTheme="minorEastAsia"/>
                <w:kern w:val="0"/>
                <w:sz w:val="24"/>
              </w:rPr>
            </w:pPr>
          </w:p>
        </w:tc>
        <w:tc>
          <w:tcPr>
            <w:tcW w:w="5819" w:type="dxa"/>
            <w:tcBorders>
              <w:top w:val="single" w:color="auto"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left"/>
              <w:textAlignment w:val="bottom"/>
              <w:rPr>
                <w:rFonts w:cs="华文仿宋" w:asciiTheme="minorEastAsia" w:hAnsiTheme="minorEastAsia"/>
                <w:kern w:val="0"/>
                <w:sz w:val="24"/>
              </w:rPr>
            </w:pPr>
            <w:r>
              <w:rPr>
                <w:rFonts w:hint="eastAsia" w:cs="华文仿宋" w:asciiTheme="minorEastAsia" w:hAnsiTheme="minorEastAsia"/>
                <w:kern w:val="0"/>
                <w:sz w:val="24"/>
              </w:rPr>
              <w:t>医疗器械生产企业许可证、备案凭证</w:t>
            </w:r>
          </w:p>
        </w:tc>
      </w:tr>
      <w:tr>
        <w:tblPrEx>
          <w:tblLayout w:type="fixed"/>
          <w:tblCellMar>
            <w:top w:w="0" w:type="dxa"/>
            <w:left w:w="0" w:type="dxa"/>
            <w:bottom w:w="0" w:type="dxa"/>
            <w:right w:w="0" w:type="dxa"/>
          </w:tblCellMar>
        </w:tblPrEx>
        <w:trPr>
          <w:trHeight w:val="249" w:hRule="atLeast"/>
        </w:trPr>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jc w:val="center"/>
            </w:pPr>
            <w:r>
              <w:t>4</w:t>
            </w:r>
          </w:p>
        </w:tc>
        <w:tc>
          <w:tcPr>
            <w:tcW w:w="1651" w:type="dxa"/>
            <w:vMerge w:val="continue"/>
            <w:tcBorders>
              <w:left w:val="single" w:color="000000" w:sz="4" w:space="0"/>
              <w:right w:val="single" w:color="000000" w:sz="4" w:space="0"/>
            </w:tcBorders>
            <w:vAlign w:val="center"/>
          </w:tcPr>
          <w:p>
            <w:pPr>
              <w:widowControl/>
              <w:jc w:val="left"/>
              <w:rPr>
                <w:rFonts w:cs="华文仿宋" w:asciiTheme="minorEastAsia" w:hAnsiTheme="minorEastAsia"/>
                <w:kern w:val="0"/>
                <w:sz w:val="24"/>
              </w:rPr>
            </w:pPr>
          </w:p>
        </w:tc>
        <w:tc>
          <w:tcPr>
            <w:tcW w:w="581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left"/>
              <w:textAlignment w:val="bottom"/>
              <w:rPr>
                <w:rFonts w:cs="华文仿宋" w:asciiTheme="minorEastAsia" w:hAnsiTheme="minorEastAsia"/>
                <w:kern w:val="0"/>
                <w:sz w:val="24"/>
              </w:rPr>
            </w:pPr>
            <w:r>
              <w:rPr>
                <w:rFonts w:hint="eastAsia" w:cs="华文仿宋" w:asciiTheme="minorEastAsia" w:hAnsiTheme="minorEastAsia"/>
                <w:kern w:val="0"/>
                <w:sz w:val="24"/>
              </w:rPr>
              <w:t>医疗器械经营许可证、备案凭证</w:t>
            </w:r>
          </w:p>
        </w:tc>
      </w:tr>
      <w:tr>
        <w:tblPrEx>
          <w:tblLayout w:type="fixed"/>
          <w:tblCellMar>
            <w:top w:w="0" w:type="dxa"/>
            <w:left w:w="0" w:type="dxa"/>
            <w:bottom w:w="0" w:type="dxa"/>
            <w:right w:w="0" w:type="dxa"/>
          </w:tblCellMar>
        </w:tblPrEx>
        <w:trPr>
          <w:trHeight w:val="249" w:hRule="atLeast"/>
        </w:trPr>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pPr>
            <w:r>
              <w:rPr>
                <w:rFonts w:hint="eastAsia"/>
              </w:rPr>
              <w:t>5</w:t>
            </w:r>
          </w:p>
        </w:tc>
        <w:tc>
          <w:tcPr>
            <w:tcW w:w="1651" w:type="dxa"/>
            <w:tcBorders>
              <w:left w:val="single" w:color="000000" w:sz="4" w:space="0"/>
              <w:right w:val="single" w:color="000000" w:sz="4" w:space="0"/>
            </w:tcBorders>
            <w:vAlign w:val="center"/>
          </w:tcPr>
          <w:p>
            <w:pPr>
              <w:widowControl/>
              <w:jc w:val="left"/>
              <w:rPr>
                <w:rFonts w:cs="华文仿宋" w:asciiTheme="minorEastAsia" w:hAnsiTheme="minorEastAsia"/>
                <w:kern w:val="0"/>
                <w:sz w:val="24"/>
              </w:rPr>
            </w:pPr>
          </w:p>
        </w:tc>
        <w:tc>
          <w:tcPr>
            <w:tcW w:w="581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left"/>
              <w:textAlignment w:val="bottom"/>
              <w:rPr>
                <w:rFonts w:cs="华文仿宋" w:asciiTheme="minorEastAsia" w:hAnsiTheme="minorEastAsia"/>
                <w:kern w:val="0"/>
                <w:sz w:val="24"/>
              </w:rPr>
            </w:pPr>
            <w:r>
              <w:rPr>
                <w:rFonts w:hint="eastAsia" w:cs="华文仿宋" w:asciiTheme="minorEastAsia" w:hAnsiTheme="minorEastAsia"/>
                <w:kern w:val="0"/>
                <w:sz w:val="24"/>
              </w:rPr>
              <w:t>按照医疗器械分类标准提供投标产品的医疗器械注册证、医疗器械备案凭证</w:t>
            </w:r>
          </w:p>
        </w:tc>
      </w:tr>
      <w:tr>
        <w:tblPrEx>
          <w:tblLayout w:type="fixed"/>
          <w:tblCellMar>
            <w:top w:w="0" w:type="dxa"/>
            <w:left w:w="0" w:type="dxa"/>
            <w:bottom w:w="0" w:type="dxa"/>
            <w:right w:w="0" w:type="dxa"/>
          </w:tblCellMar>
        </w:tblPrEx>
        <w:trPr>
          <w:trHeight w:val="249" w:hRule="atLeast"/>
        </w:trPr>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jc w:val="center"/>
            </w:pPr>
            <w:r>
              <w:rPr>
                <w:rFonts w:hint="eastAsia"/>
              </w:rPr>
              <w:t>6</w:t>
            </w:r>
          </w:p>
        </w:tc>
        <w:tc>
          <w:tcPr>
            <w:tcW w:w="1651"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bottom"/>
              <w:rPr>
                <w:rFonts w:cs="华文仿宋" w:asciiTheme="minorEastAsia" w:hAnsiTheme="minorEastAsia"/>
                <w:kern w:val="0"/>
                <w:sz w:val="24"/>
              </w:rPr>
            </w:pPr>
            <w:r>
              <w:rPr>
                <w:rFonts w:hint="eastAsia" w:cs="华文仿宋" w:asciiTheme="minorEastAsia" w:hAnsiTheme="minorEastAsia"/>
                <w:kern w:val="0"/>
                <w:sz w:val="24"/>
              </w:rPr>
              <w:t>经销商资质</w:t>
            </w:r>
          </w:p>
        </w:tc>
        <w:tc>
          <w:tcPr>
            <w:tcW w:w="581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left"/>
              <w:textAlignment w:val="bottom"/>
              <w:rPr>
                <w:rFonts w:cs="华文仿宋" w:asciiTheme="minorEastAsia" w:hAnsiTheme="minorEastAsia"/>
                <w:kern w:val="0"/>
                <w:sz w:val="24"/>
              </w:rPr>
            </w:pPr>
            <w:r>
              <w:rPr>
                <w:rFonts w:hint="eastAsia" w:cs="华文仿宋" w:asciiTheme="minorEastAsia" w:hAnsiTheme="minorEastAsia"/>
                <w:kern w:val="0"/>
                <w:sz w:val="24"/>
              </w:rPr>
              <w:t>企业法人营业执照（三证合一）</w:t>
            </w:r>
          </w:p>
        </w:tc>
      </w:tr>
      <w:tr>
        <w:tblPrEx>
          <w:tblLayout w:type="fixed"/>
          <w:tblCellMar>
            <w:top w:w="0" w:type="dxa"/>
            <w:left w:w="0" w:type="dxa"/>
            <w:bottom w:w="0" w:type="dxa"/>
            <w:right w:w="0" w:type="dxa"/>
          </w:tblCellMar>
        </w:tblPrEx>
        <w:trPr>
          <w:trHeight w:val="249" w:hRule="atLeast"/>
        </w:trPr>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jc w:val="center"/>
            </w:pPr>
            <w:r>
              <w:rPr>
                <w:rFonts w:hint="eastAsia"/>
              </w:rPr>
              <w:t>7</w:t>
            </w:r>
          </w:p>
        </w:tc>
        <w:tc>
          <w:tcPr>
            <w:tcW w:w="1651"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center"/>
              <w:rPr>
                <w:rFonts w:cs="华文仿宋" w:asciiTheme="minorEastAsia" w:hAnsiTheme="minorEastAsia"/>
                <w:kern w:val="0"/>
                <w:sz w:val="24"/>
              </w:rPr>
            </w:pPr>
          </w:p>
        </w:tc>
        <w:tc>
          <w:tcPr>
            <w:tcW w:w="581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left"/>
              <w:textAlignment w:val="bottom"/>
              <w:rPr>
                <w:rFonts w:cs="华文仿宋" w:asciiTheme="minorEastAsia" w:hAnsiTheme="minorEastAsia"/>
                <w:kern w:val="0"/>
                <w:sz w:val="24"/>
              </w:rPr>
            </w:pPr>
            <w:r>
              <w:rPr>
                <w:rFonts w:hint="eastAsia" w:cs="华文仿宋" w:asciiTheme="minorEastAsia" w:hAnsiTheme="minorEastAsia"/>
                <w:kern w:val="0"/>
                <w:sz w:val="24"/>
              </w:rPr>
              <w:t>医疗器械经营许可证、备案凭证</w:t>
            </w:r>
          </w:p>
        </w:tc>
      </w:tr>
      <w:tr>
        <w:tblPrEx>
          <w:tblLayout w:type="fixed"/>
          <w:tblCellMar>
            <w:top w:w="0" w:type="dxa"/>
            <w:left w:w="0" w:type="dxa"/>
            <w:bottom w:w="0" w:type="dxa"/>
            <w:right w:w="0" w:type="dxa"/>
          </w:tblCellMar>
        </w:tblPrEx>
        <w:trPr>
          <w:trHeight w:val="249" w:hRule="atLeast"/>
        </w:trPr>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jc w:val="center"/>
            </w:pPr>
            <w:r>
              <w:rPr>
                <w:rFonts w:hint="eastAsia"/>
              </w:rPr>
              <w:t>8</w:t>
            </w:r>
          </w:p>
        </w:tc>
        <w:tc>
          <w:tcPr>
            <w:tcW w:w="1651"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center"/>
              <w:rPr>
                <w:rFonts w:cs="华文仿宋" w:asciiTheme="minorEastAsia" w:hAnsiTheme="minorEastAsia"/>
                <w:kern w:val="0"/>
                <w:sz w:val="24"/>
              </w:rPr>
            </w:pPr>
          </w:p>
        </w:tc>
        <w:tc>
          <w:tcPr>
            <w:tcW w:w="581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left"/>
              <w:textAlignment w:val="bottom"/>
              <w:rPr>
                <w:rFonts w:cs="华文仿宋" w:asciiTheme="minorEastAsia" w:hAnsiTheme="minorEastAsia"/>
                <w:kern w:val="0"/>
                <w:sz w:val="24"/>
              </w:rPr>
            </w:pPr>
            <w:r>
              <w:rPr>
                <w:rFonts w:hint="eastAsia" w:cs="华文仿宋" w:asciiTheme="minorEastAsia" w:hAnsiTheme="minorEastAsia"/>
                <w:kern w:val="0"/>
                <w:sz w:val="24"/>
              </w:rPr>
              <w:t>开户许可证</w:t>
            </w:r>
          </w:p>
        </w:tc>
      </w:tr>
      <w:tr>
        <w:tblPrEx>
          <w:tblLayout w:type="fixed"/>
          <w:tblCellMar>
            <w:top w:w="0" w:type="dxa"/>
            <w:left w:w="0" w:type="dxa"/>
            <w:bottom w:w="0" w:type="dxa"/>
            <w:right w:w="0" w:type="dxa"/>
          </w:tblCellMar>
        </w:tblPrEx>
        <w:trPr>
          <w:trHeight w:val="249" w:hRule="atLeast"/>
        </w:trPr>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jc w:val="center"/>
            </w:pPr>
            <w:r>
              <w:rPr>
                <w:rFonts w:hint="eastAsia"/>
              </w:rPr>
              <w:t>9</w:t>
            </w:r>
          </w:p>
        </w:tc>
        <w:tc>
          <w:tcPr>
            <w:tcW w:w="1651"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center"/>
              <w:rPr>
                <w:rFonts w:cs="华文仿宋" w:asciiTheme="minorEastAsia" w:hAnsiTheme="minorEastAsia"/>
                <w:kern w:val="0"/>
                <w:sz w:val="24"/>
              </w:rPr>
            </w:pPr>
          </w:p>
        </w:tc>
        <w:tc>
          <w:tcPr>
            <w:tcW w:w="581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left"/>
              <w:textAlignment w:val="bottom"/>
              <w:rPr>
                <w:rFonts w:cs="华文仿宋" w:asciiTheme="minorEastAsia" w:hAnsiTheme="minorEastAsia"/>
                <w:kern w:val="0"/>
                <w:sz w:val="24"/>
              </w:rPr>
            </w:pPr>
            <w:r>
              <w:rPr>
                <w:rFonts w:hint="eastAsia" w:cs="华文仿宋" w:asciiTheme="minorEastAsia" w:hAnsiTheme="minorEastAsia"/>
                <w:kern w:val="0"/>
                <w:sz w:val="24"/>
              </w:rPr>
              <w:t>生产企业出具的投标产品代理授权书（原件）</w:t>
            </w:r>
          </w:p>
        </w:tc>
      </w:tr>
      <w:tr>
        <w:tblPrEx>
          <w:tblLayout w:type="fixed"/>
          <w:tblCellMar>
            <w:top w:w="0" w:type="dxa"/>
            <w:left w:w="0" w:type="dxa"/>
            <w:bottom w:w="0" w:type="dxa"/>
            <w:right w:w="0" w:type="dxa"/>
          </w:tblCellMar>
        </w:tblPrEx>
        <w:trPr>
          <w:trHeight w:val="249" w:hRule="atLeast"/>
        </w:trPr>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jc w:val="center"/>
            </w:pPr>
            <w:r>
              <w:t>1</w:t>
            </w:r>
            <w:r>
              <w:rPr>
                <w:rFonts w:hint="eastAsia"/>
              </w:rPr>
              <w:t>0</w:t>
            </w:r>
          </w:p>
        </w:tc>
        <w:tc>
          <w:tcPr>
            <w:tcW w:w="1651"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center"/>
              <w:rPr>
                <w:rFonts w:cs="华文仿宋" w:asciiTheme="minorEastAsia" w:hAnsiTheme="minorEastAsia"/>
                <w:kern w:val="0"/>
                <w:sz w:val="24"/>
              </w:rPr>
            </w:pPr>
          </w:p>
        </w:tc>
        <w:tc>
          <w:tcPr>
            <w:tcW w:w="581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left"/>
              <w:textAlignment w:val="bottom"/>
              <w:rPr>
                <w:rFonts w:cs="华文仿宋" w:asciiTheme="minorEastAsia" w:hAnsiTheme="minorEastAsia"/>
                <w:kern w:val="0"/>
                <w:sz w:val="24"/>
              </w:rPr>
            </w:pPr>
            <w:r>
              <w:rPr>
                <w:rFonts w:hint="eastAsia" w:cs="华文仿宋" w:asciiTheme="minorEastAsia" w:hAnsiTheme="minorEastAsia"/>
                <w:kern w:val="0"/>
                <w:sz w:val="24"/>
              </w:rPr>
              <w:t>法人代表授权书</w:t>
            </w:r>
          </w:p>
        </w:tc>
      </w:tr>
      <w:tr>
        <w:tblPrEx>
          <w:tblLayout w:type="fixed"/>
          <w:tblCellMar>
            <w:top w:w="0" w:type="dxa"/>
            <w:left w:w="0" w:type="dxa"/>
            <w:bottom w:w="0" w:type="dxa"/>
            <w:right w:w="0" w:type="dxa"/>
          </w:tblCellMar>
        </w:tblPrEx>
        <w:trPr>
          <w:trHeight w:val="249" w:hRule="atLeast"/>
        </w:trPr>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jc w:val="center"/>
            </w:pPr>
            <w:r>
              <w:t>1</w:t>
            </w:r>
            <w:r>
              <w:rPr>
                <w:rFonts w:hint="eastAsia"/>
              </w:rPr>
              <w:t>1</w:t>
            </w:r>
          </w:p>
        </w:tc>
        <w:tc>
          <w:tcPr>
            <w:tcW w:w="1651"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center"/>
              <w:rPr>
                <w:rFonts w:cs="华文仿宋" w:asciiTheme="minorEastAsia" w:hAnsiTheme="minorEastAsia"/>
                <w:kern w:val="0"/>
                <w:sz w:val="24"/>
              </w:rPr>
            </w:pPr>
          </w:p>
        </w:tc>
        <w:tc>
          <w:tcPr>
            <w:tcW w:w="581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left"/>
              <w:textAlignment w:val="bottom"/>
              <w:rPr>
                <w:rFonts w:cs="华文仿宋" w:asciiTheme="minorEastAsia" w:hAnsiTheme="minorEastAsia"/>
                <w:kern w:val="0"/>
                <w:sz w:val="24"/>
              </w:rPr>
            </w:pPr>
            <w:r>
              <w:rPr>
                <w:rFonts w:hint="eastAsia" w:cs="华文仿宋" w:asciiTheme="minorEastAsia" w:hAnsiTheme="minorEastAsia"/>
                <w:kern w:val="0"/>
                <w:sz w:val="24"/>
              </w:rPr>
              <w:t>法人代表身份证复印件</w:t>
            </w:r>
          </w:p>
        </w:tc>
      </w:tr>
      <w:tr>
        <w:tblPrEx>
          <w:tblLayout w:type="fixed"/>
          <w:tblCellMar>
            <w:top w:w="0" w:type="dxa"/>
            <w:left w:w="0" w:type="dxa"/>
            <w:bottom w:w="0" w:type="dxa"/>
            <w:right w:w="0" w:type="dxa"/>
          </w:tblCellMar>
        </w:tblPrEx>
        <w:trPr>
          <w:trHeight w:val="349" w:hRule="atLeast"/>
        </w:trPr>
        <w:tc>
          <w:tcPr>
            <w:tcW w:w="767" w:type="dxa"/>
            <w:tcBorders>
              <w:top w:val="single" w:color="000000" w:sz="4" w:space="0"/>
              <w:left w:val="single" w:color="000000" w:sz="4" w:space="0"/>
              <w:bottom w:val="single" w:color="auto" w:sz="4" w:space="0"/>
              <w:right w:val="single" w:color="000000" w:sz="4" w:space="0"/>
            </w:tcBorders>
            <w:tcMar>
              <w:top w:w="15" w:type="dxa"/>
              <w:left w:w="15" w:type="dxa"/>
              <w:bottom w:w="0" w:type="dxa"/>
              <w:right w:w="15" w:type="dxa"/>
            </w:tcMar>
          </w:tcPr>
          <w:p>
            <w:pPr>
              <w:jc w:val="center"/>
            </w:pPr>
            <w:r>
              <w:t>1</w:t>
            </w:r>
            <w:r>
              <w:rPr>
                <w:rFonts w:hint="eastAsia"/>
              </w:rPr>
              <w:t>2</w:t>
            </w:r>
          </w:p>
        </w:tc>
        <w:tc>
          <w:tcPr>
            <w:tcW w:w="1651" w:type="dxa"/>
            <w:vMerge w:val="continue"/>
            <w:tcBorders>
              <w:top w:val="single" w:color="000000" w:sz="4" w:space="0"/>
              <w:left w:val="single" w:color="000000" w:sz="4" w:space="0"/>
              <w:bottom w:val="single" w:color="auto" w:sz="4" w:space="0"/>
              <w:right w:val="single" w:color="000000" w:sz="4" w:space="0"/>
            </w:tcBorders>
            <w:vAlign w:val="center"/>
          </w:tcPr>
          <w:p>
            <w:pPr>
              <w:widowControl/>
              <w:jc w:val="center"/>
              <w:rPr>
                <w:rFonts w:cs="华文仿宋" w:asciiTheme="minorEastAsia" w:hAnsiTheme="minorEastAsia"/>
                <w:kern w:val="0"/>
                <w:sz w:val="24"/>
              </w:rPr>
            </w:pPr>
          </w:p>
        </w:tc>
        <w:tc>
          <w:tcPr>
            <w:tcW w:w="5819" w:type="dxa"/>
            <w:tcBorders>
              <w:top w:val="single" w:color="000000" w:sz="4" w:space="0"/>
              <w:left w:val="single" w:color="000000" w:sz="4" w:space="0"/>
              <w:bottom w:val="single" w:color="auto" w:sz="4" w:space="0"/>
              <w:right w:val="single" w:color="000000" w:sz="4" w:space="0"/>
            </w:tcBorders>
            <w:tcMar>
              <w:top w:w="15" w:type="dxa"/>
              <w:left w:w="15" w:type="dxa"/>
              <w:bottom w:w="0" w:type="dxa"/>
              <w:right w:w="15" w:type="dxa"/>
            </w:tcMar>
            <w:vAlign w:val="bottom"/>
          </w:tcPr>
          <w:p>
            <w:pPr>
              <w:widowControl/>
              <w:jc w:val="left"/>
              <w:textAlignment w:val="bottom"/>
              <w:rPr>
                <w:rFonts w:cs="华文仿宋" w:asciiTheme="minorEastAsia" w:hAnsiTheme="minorEastAsia"/>
                <w:kern w:val="0"/>
                <w:sz w:val="24"/>
              </w:rPr>
            </w:pPr>
            <w:r>
              <w:rPr>
                <w:rFonts w:hint="eastAsia" w:cs="华文仿宋" w:asciiTheme="minorEastAsia" w:hAnsiTheme="minorEastAsia"/>
                <w:kern w:val="0"/>
                <w:sz w:val="24"/>
              </w:rPr>
              <w:t>投标代表身份证复印件</w:t>
            </w:r>
          </w:p>
        </w:tc>
      </w:tr>
      <w:tr>
        <w:tblPrEx>
          <w:tblLayout w:type="fixed"/>
          <w:tblCellMar>
            <w:top w:w="0" w:type="dxa"/>
            <w:left w:w="0" w:type="dxa"/>
            <w:bottom w:w="0" w:type="dxa"/>
            <w:right w:w="0" w:type="dxa"/>
          </w:tblCellMar>
        </w:tblPrEx>
        <w:trPr>
          <w:trHeight w:val="249" w:hRule="atLeast"/>
        </w:trPr>
        <w:tc>
          <w:tcPr>
            <w:tcW w:w="767" w:type="dxa"/>
            <w:tcBorders>
              <w:top w:val="single" w:color="auto" w:sz="4" w:space="0"/>
              <w:left w:val="single" w:color="000000" w:sz="4" w:space="0"/>
              <w:bottom w:val="single" w:color="000000" w:sz="4" w:space="0"/>
              <w:right w:val="single" w:color="000000" w:sz="4" w:space="0"/>
            </w:tcBorders>
            <w:tcMar>
              <w:top w:w="15" w:type="dxa"/>
              <w:left w:w="15" w:type="dxa"/>
              <w:bottom w:w="0" w:type="dxa"/>
              <w:right w:w="15" w:type="dxa"/>
            </w:tcMar>
          </w:tcPr>
          <w:p>
            <w:pPr>
              <w:jc w:val="center"/>
              <w:rPr>
                <w:rFonts w:hint="default" w:eastAsia="宋体"/>
                <w:lang w:val="en-US" w:eastAsia="zh-CN"/>
              </w:rPr>
            </w:pPr>
            <w:r>
              <w:rPr>
                <w:rFonts w:hint="eastAsia"/>
                <w:lang w:val="en-US" w:eastAsia="zh-CN"/>
              </w:rPr>
              <w:t>13</w:t>
            </w:r>
          </w:p>
        </w:tc>
        <w:tc>
          <w:tcPr>
            <w:tcW w:w="7470" w:type="dxa"/>
            <w:gridSpan w:val="2"/>
            <w:tcBorders>
              <w:top w:val="single" w:color="auto"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left"/>
              <w:textAlignment w:val="bottom"/>
              <w:rPr>
                <w:rFonts w:hint="eastAsia" w:cs="华文仿宋" w:asciiTheme="minorEastAsia" w:hAnsiTheme="minorEastAsia"/>
                <w:kern w:val="0"/>
                <w:sz w:val="24"/>
              </w:rPr>
            </w:pPr>
            <w:r>
              <w:rPr>
                <w:rFonts w:hint="eastAsia" w:ascii="宋体" w:hAnsi="宋体" w:eastAsia="宋体" w:cs="宋体"/>
                <w:color w:val="000000"/>
                <w:sz w:val="24"/>
                <w:szCs w:val="24"/>
              </w:rPr>
              <w:t>产品报价明细：报价不能超过采购预算金额，超过预算金额</w:t>
            </w:r>
            <w:r>
              <w:rPr>
                <w:rFonts w:hint="eastAsia" w:ascii="宋体" w:hAnsi="宋体" w:eastAsia="宋体" w:cs="宋体"/>
                <w:color w:val="FF0000"/>
                <w:sz w:val="24"/>
                <w:szCs w:val="24"/>
              </w:rPr>
              <w:t>视为无效报价</w:t>
            </w:r>
            <w:r>
              <w:rPr>
                <w:rFonts w:hint="eastAsia" w:ascii="宋体" w:hAnsi="宋体" w:eastAsia="宋体" w:cs="宋体"/>
                <w:color w:val="FF0000"/>
                <w:sz w:val="24"/>
                <w:szCs w:val="24"/>
                <w:lang w:eastAsia="zh-CN"/>
              </w:rPr>
              <w:t>。</w:t>
            </w:r>
            <w:r>
              <w:rPr>
                <w:rFonts w:hint="eastAsia" w:ascii="宋体" w:hAnsi="宋体" w:eastAsia="宋体" w:cs="宋体"/>
                <w:color w:val="FF0000"/>
                <w:sz w:val="24"/>
                <w:szCs w:val="24"/>
                <w:highlight w:val="none"/>
                <w:lang w:val="en-US" w:eastAsia="zh-CN"/>
              </w:rPr>
              <w:t xml:space="preserve">投标报价明细中应包含医用耗材的国家医保编码、黑龙江医保服务平台挂网价格，且投标报价不能高于平台挂网价格。并将黑龙江医保服务平台挂网价格查询的截图附到投标报价明细后面。 </w:t>
            </w:r>
          </w:p>
        </w:tc>
      </w:tr>
      <w:tr>
        <w:tblPrEx>
          <w:tblLayout w:type="fixed"/>
          <w:tblCellMar>
            <w:top w:w="0" w:type="dxa"/>
            <w:left w:w="0" w:type="dxa"/>
            <w:bottom w:w="0" w:type="dxa"/>
            <w:right w:w="0" w:type="dxa"/>
          </w:tblCellMar>
        </w:tblPrEx>
        <w:trPr>
          <w:trHeight w:val="249" w:hRule="atLeast"/>
        </w:trPr>
        <w:tc>
          <w:tcPr>
            <w:tcW w:w="767" w:type="dxa"/>
            <w:tcBorders>
              <w:top w:val="single" w:color="auto" w:sz="4" w:space="0"/>
              <w:left w:val="single" w:color="000000" w:sz="4" w:space="0"/>
              <w:bottom w:val="single" w:color="000000" w:sz="4" w:space="0"/>
              <w:right w:val="single" w:color="000000" w:sz="4" w:space="0"/>
            </w:tcBorders>
            <w:tcMar>
              <w:top w:w="15" w:type="dxa"/>
              <w:left w:w="15" w:type="dxa"/>
              <w:bottom w:w="0" w:type="dxa"/>
              <w:right w:w="15" w:type="dxa"/>
            </w:tcMar>
          </w:tcPr>
          <w:p>
            <w:pPr>
              <w:jc w:val="center"/>
              <w:rPr>
                <w:rFonts w:hint="eastAsia" w:eastAsia="宋体"/>
                <w:lang w:val="en-US" w:eastAsia="zh-CN"/>
              </w:rPr>
            </w:pPr>
            <w:r>
              <w:rPr>
                <w:rFonts w:hint="eastAsia"/>
              </w:rPr>
              <w:t>1</w:t>
            </w:r>
            <w:r>
              <w:rPr>
                <w:rFonts w:hint="eastAsia"/>
                <w:lang w:val="en-US" w:eastAsia="zh-CN"/>
              </w:rPr>
              <w:t>4</w:t>
            </w:r>
          </w:p>
        </w:tc>
        <w:tc>
          <w:tcPr>
            <w:tcW w:w="7470" w:type="dxa"/>
            <w:gridSpan w:val="2"/>
            <w:tcBorders>
              <w:top w:val="single" w:color="auto"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left"/>
              <w:textAlignment w:val="bottom"/>
              <w:rPr>
                <w:rFonts w:cs="华文仿宋" w:asciiTheme="minorEastAsia" w:hAnsiTheme="minorEastAsia"/>
                <w:kern w:val="0"/>
                <w:sz w:val="24"/>
              </w:rPr>
            </w:pPr>
            <w:r>
              <w:rPr>
                <w:rFonts w:hint="eastAsia" w:cs="华文仿宋" w:asciiTheme="minorEastAsia" w:hAnsiTheme="minorEastAsia"/>
                <w:kern w:val="0"/>
                <w:sz w:val="24"/>
              </w:rPr>
              <w:t>售后服务承诺书</w:t>
            </w:r>
          </w:p>
        </w:tc>
      </w:tr>
      <w:tr>
        <w:tblPrEx>
          <w:tblLayout w:type="fixed"/>
          <w:tblCellMar>
            <w:top w:w="0" w:type="dxa"/>
            <w:left w:w="0" w:type="dxa"/>
            <w:bottom w:w="0" w:type="dxa"/>
            <w:right w:w="0" w:type="dxa"/>
          </w:tblCellMar>
        </w:tblPrEx>
        <w:trPr>
          <w:trHeight w:val="324" w:hRule="atLeast"/>
        </w:trPr>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jc w:val="center"/>
              <w:rPr>
                <w:rFonts w:hint="eastAsia" w:eastAsia="宋体"/>
                <w:lang w:val="en-US" w:eastAsia="zh-CN"/>
              </w:rPr>
            </w:pPr>
            <w:r>
              <w:rPr>
                <w:rFonts w:hint="eastAsia"/>
              </w:rPr>
              <w:t>1</w:t>
            </w:r>
            <w:r>
              <w:rPr>
                <w:rFonts w:hint="eastAsia"/>
                <w:lang w:val="en-US" w:eastAsia="zh-CN"/>
              </w:rPr>
              <w:t>5</w:t>
            </w:r>
          </w:p>
        </w:tc>
        <w:tc>
          <w:tcPr>
            <w:tcW w:w="74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left"/>
              <w:textAlignment w:val="bottom"/>
              <w:rPr>
                <w:rFonts w:cs="华文仿宋" w:asciiTheme="minorEastAsia" w:hAnsiTheme="minorEastAsia"/>
                <w:kern w:val="0"/>
                <w:sz w:val="24"/>
              </w:rPr>
            </w:pPr>
            <w:r>
              <w:rPr>
                <w:rFonts w:hint="eastAsia" w:cs="华文仿宋" w:asciiTheme="minorEastAsia" w:hAnsiTheme="minorEastAsia"/>
                <w:kern w:val="0"/>
                <w:sz w:val="24"/>
              </w:rPr>
              <w:t>质量保证协议</w:t>
            </w:r>
          </w:p>
        </w:tc>
      </w:tr>
      <w:tr>
        <w:tblPrEx>
          <w:tblLayout w:type="fixed"/>
          <w:tblCellMar>
            <w:top w:w="0" w:type="dxa"/>
            <w:left w:w="0" w:type="dxa"/>
            <w:bottom w:w="0" w:type="dxa"/>
            <w:right w:w="0" w:type="dxa"/>
          </w:tblCellMar>
        </w:tblPrEx>
        <w:trPr>
          <w:trHeight w:val="324" w:hRule="atLeast"/>
        </w:trPr>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jc w:val="center"/>
              <w:rPr>
                <w:rFonts w:hint="eastAsia" w:eastAsia="宋体"/>
                <w:lang w:val="en-US" w:eastAsia="zh-CN"/>
              </w:rPr>
            </w:pPr>
            <w:r>
              <w:rPr>
                <w:rFonts w:hint="eastAsia"/>
              </w:rPr>
              <w:t>1</w:t>
            </w:r>
            <w:r>
              <w:rPr>
                <w:rFonts w:hint="eastAsia"/>
                <w:lang w:val="en-US" w:eastAsia="zh-CN"/>
              </w:rPr>
              <w:t>6</w:t>
            </w:r>
          </w:p>
        </w:tc>
        <w:tc>
          <w:tcPr>
            <w:tcW w:w="74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left"/>
              <w:textAlignment w:val="bottom"/>
              <w:rPr>
                <w:rFonts w:cs="华文仿宋" w:asciiTheme="minorEastAsia" w:hAnsiTheme="minorEastAsia"/>
                <w:kern w:val="0"/>
                <w:sz w:val="24"/>
              </w:rPr>
            </w:pPr>
            <w:r>
              <w:rPr>
                <w:rFonts w:hint="eastAsia" w:cs="华文仿宋" w:asciiTheme="minorEastAsia" w:hAnsiTheme="minorEastAsia"/>
                <w:kern w:val="0"/>
                <w:sz w:val="24"/>
              </w:rPr>
              <w:t>报价单</w:t>
            </w:r>
          </w:p>
        </w:tc>
      </w:tr>
    </w:tbl>
    <w:p>
      <w:pPr>
        <w:snapToGrid w:val="0"/>
        <w:spacing w:line="360" w:lineRule="auto"/>
        <w:jc w:val="left"/>
        <w:rPr>
          <w:rFonts w:asciiTheme="minorEastAsia" w:hAnsiTheme="minorEastAsia"/>
          <w:b/>
          <w:bCs/>
          <w:sz w:val="24"/>
        </w:rPr>
      </w:pPr>
      <w:r>
        <w:rPr>
          <w:rFonts w:hint="eastAsia" w:asciiTheme="minorEastAsia" w:hAnsiTheme="minorEastAsia"/>
          <w:b/>
          <w:bCs/>
          <w:sz w:val="24"/>
        </w:rPr>
        <w:t>十一、投标文件的递交</w:t>
      </w:r>
    </w:p>
    <w:p>
      <w:pPr>
        <w:snapToGrid w:val="0"/>
        <w:spacing w:line="360" w:lineRule="auto"/>
        <w:jc w:val="left"/>
        <w:rPr>
          <w:rFonts w:asciiTheme="minorEastAsia" w:hAnsiTheme="minorEastAsia"/>
          <w:sz w:val="24"/>
        </w:rPr>
      </w:pPr>
      <w:r>
        <w:rPr>
          <w:rFonts w:hint="eastAsia" w:asciiTheme="minorEastAsia" w:hAnsiTheme="minorEastAsia"/>
          <w:sz w:val="24"/>
        </w:rPr>
        <w:t>1、每个投标人递交1个投标文件密封袋。</w:t>
      </w:r>
    </w:p>
    <w:p>
      <w:pPr>
        <w:snapToGrid w:val="0"/>
        <w:spacing w:line="360" w:lineRule="auto"/>
        <w:jc w:val="left"/>
        <w:rPr>
          <w:rFonts w:asciiTheme="minorEastAsia" w:hAnsiTheme="minorEastAsia"/>
          <w:sz w:val="24"/>
        </w:rPr>
      </w:pPr>
      <w:r>
        <w:rPr>
          <w:rFonts w:hint="eastAsia" w:asciiTheme="minorEastAsia" w:hAnsiTheme="minorEastAsia"/>
          <w:sz w:val="24"/>
        </w:rPr>
        <w:t>2、投标人将投标文件现场递交给招标办。</w:t>
      </w:r>
    </w:p>
    <w:p>
      <w:pPr>
        <w:snapToGrid w:val="0"/>
        <w:spacing w:line="360" w:lineRule="auto"/>
        <w:jc w:val="left"/>
        <w:rPr>
          <w:rFonts w:asciiTheme="minorEastAsia" w:hAnsiTheme="minorEastAsia"/>
          <w:sz w:val="24"/>
        </w:rPr>
      </w:pPr>
      <w:r>
        <w:rPr>
          <w:rFonts w:hint="eastAsia" w:asciiTheme="minorEastAsia" w:hAnsiTheme="minorEastAsia"/>
          <w:sz w:val="24"/>
        </w:rPr>
        <w:t>3、投标文件有下列情况之一者将视为无效：</w:t>
      </w:r>
    </w:p>
    <w:p>
      <w:pPr>
        <w:snapToGrid w:val="0"/>
        <w:spacing w:line="360" w:lineRule="auto"/>
        <w:jc w:val="left"/>
        <w:rPr>
          <w:rFonts w:asciiTheme="minorEastAsia" w:hAnsiTheme="minorEastAsia"/>
          <w:sz w:val="24"/>
        </w:rPr>
      </w:pPr>
      <w:r>
        <w:rPr>
          <w:rFonts w:hint="eastAsia" w:asciiTheme="minorEastAsia" w:hAnsiTheme="minorEastAsia"/>
          <w:sz w:val="24"/>
        </w:rPr>
        <w:t>（1）投标文件未密封和未按规定加盖投标人公章的。</w:t>
      </w:r>
    </w:p>
    <w:p>
      <w:pPr>
        <w:snapToGrid w:val="0"/>
        <w:spacing w:line="360" w:lineRule="auto"/>
        <w:jc w:val="left"/>
        <w:rPr>
          <w:rFonts w:asciiTheme="minorEastAsia" w:hAnsiTheme="minorEastAsia"/>
          <w:sz w:val="24"/>
        </w:rPr>
      </w:pPr>
      <w:r>
        <w:rPr>
          <w:rFonts w:hint="eastAsia" w:asciiTheme="minorEastAsia" w:hAnsiTheme="minorEastAsia"/>
          <w:sz w:val="24"/>
        </w:rPr>
        <w:t>（2）未按规定要求编制投标文件或产品目录等内容不全、字迹模糊不清、影响评标的。</w:t>
      </w:r>
    </w:p>
    <w:p>
      <w:pPr>
        <w:snapToGrid w:val="0"/>
        <w:spacing w:line="360" w:lineRule="auto"/>
        <w:jc w:val="left"/>
        <w:rPr>
          <w:rFonts w:asciiTheme="minorEastAsia" w:hAnsiTheme="minorEastAsia"/>
          <w:sz w:val="24"/>
        </w:rPr>
      </w:pPr>
      <w:r>
        <w:rPr>
          <w:rFonts w:hint="eastAsia" w:asciiTheme="minorEastAsia" w:hAnsiTheme="minorEastAsia"/>
          <w:sz w:val="24"/>
        </w:rPr>
        <w:t>（3）超过截止时间未送达投标文件的。</w:t>
      </w:r>
    </w:p>
    <w:p>
      <w:pPr>
        <w:snapToGrid w:val="0"/>
        <w:spacing w:line="360" w:lineRule="auto"/>
        <w:jc w:val="left"/>
        <w:rPr>
          <w:rFonts w:asciiTheme="minorEastAsia" w:hAnsiTheme="minorEastAsia"/>
          <w:sz w:val="24"/>
        </w:rPr>
      </w:pPr>
      <w:r>
        <w:rPr>
          <w:rFonts w:hint="eastAsia" w:asciiTheme="minorEastAsia" w:hAnsiTheme="minorEastAsia"/>
          <w:sz w:val="24"/>
        </w:rPr>
        <w:t>（4）违反招投标法律法规规定的。</w:t>
      </w:r>
    </w:p>
    <w:p>
      <w:pPr>
        <w:snapToGrid w:val="0"/>
        <w:spacing w:line="360" w:lineRule="auto"/>
        <w:jc w:val="left"/>
        <w:rPr>
          <w:rFonts w:cs="仿宋" w:asciiTheme="minorEastAsia" w:hAnsiTheme="minorEastAsia"/>
          <w:sz w:val="24"/>
        </w:rPr>
      </w:pPr>
      <w:r>
        <w:rPr>
          <w:rFonts w:hint="eastAsia" w:asciiTheme="minorEastAsia" w:hAnsiTheme="minorEastAsia"/>
          <w:sz w:val="24"/>
        </w:rPr>
        <w:t>（5）未响应招标文件内容。</w:t>
      </w:r>
    </w:p>
    <w:p>
      <w:pPr>
        <w:pStyle w:val="8"/>
        <w:spacing w:before="0" w:beforeAutospacing="0" w:after="0" w:afterAutospacing="0" w:line="450" w:lineRule="atLeast"/>
        <w:rPr>
          <w:rFonts w:asciiTheme="minorEastAsia" w:hAnsiTheme="minorEastAsia"/>
          <w:b/>
          <w:bCs/>
          <w:color w:val="000000" w:themeColor="text1"/>
          <w14:textFill>
            <w14:solidFill>
              <w14:schemeClr w14:val="tx1"/>
            </w14:solidFill>
          </w14:textFill>
        </w:rPr>
      </w:pPr>
      <w:r>
        <w:rPr>
          <w:rFonts w:hint="eastAsia" w:asciiTheme="minorEastAsia" w:hAnsiTheme="minorEastAsia"/>
          <w:b/>
          <w:bCs/>
          <w:color w:val="000000" w:themeColor="text1"/>
          <w14:textFill>
            <w14:solidFill>
              <w14:schemeClr w14:val="tx1"/>
            </w14:solidFill>
          </w14:textFill>
        </w:rPr>
        <w:t>十二、谈判与评标</w:t>
      </w:r>
    </w:p>
    <w:p>
      <w:pPr>
        <w:snapToGrid w:val="0"/>
        <w:spacing w:line="360" w:lineRule="auto"/>
        <w:jc w:val="left"/>
        <w:rPr>
          <w:rFonts w:asciiTheme="minorEastAsia" w:hAnsiTheme="minorEastAsia"/>
          <w:sz w:val="24"/>
        </w:rPr>
      </w:pPr>
      <w:r>
        <w:rPr>
          <w:rFonts w:hint="eastAsia" w:asciiTheme="minorEastAsia" w:hAnsiTheme="minorEastAsia"/>
          <w:sz w:val="24"/>
        </w:rPr>
        <w:t>1、开标时间：202</w:t>
      </w:r>
      <w:r>
        <w:rPr>
          <w:rFonts w:hint="eastAsia" w:asciiTheme="minorEastAsia" w:hAnsiTheme="minorEastAsia"/>
          <w:sz w:val="24"/>
          <w:lang w:val="en-US" w:eastAsia="zh-CN"/>
        </w:rPr>
        <w:t>6</w:t>
      </w:r>
      <w:r>
        <w:rPr>
          <w:rFonts w:hint="eastAsia" w:asciiTheme="minorEastAsia" w:hAnsiTheme="minorEastAsia"/>
          <w:sz w:val="24"/>
        </w:rPr>
        <w:t>年</w:t>
      </w:r>
      <w:r>
        <w:rPr>
          <w:rFonts w:hint="eastAsia" w:asciiTheme="minorEastAsia" w:hAnsiTheme="minorEastAsia"/>
          <w:sz w:val="24"/>
          <w:lang w:val="en-US" w:eastAsia="zh-CN"/>
        </w:rPr>
        <w:t>9</w:t>
      </w:r>
      <w:r>
        <w:rPr>
          <w:rFonts w:hint="eastAsia" w:asciiTheme="minorEastAsia" w:hAnsiTheme="minorEastAsia"/>
          <w:sz w:val="24"/>
        </w:rPr>
        <w:t>月</w:t>
      </w:r>
      <w:r>
        <w:rPr>
          <w:rFonts w:hint="eastAsia" w:asciiTheme="minorEastAsia" w:hAnsiTheme="minorEastAsia"/>
          <w:sz w:val="24"/>
          <w:lang w:val="en-US" w:eastAsia="zh-CN"/>
        </w:rPr>
        <w:t>22</w:t>
      </w:r>
      <w:r>
        <w:rPr>
          <w:rFonts w:hint="eastAsia" w:asciiTheme="minorEastAsia" w:hAnsiTheme="minorEastAsia"/>
          <w:sz w:val="24"/>
        </w:rPr>
        <w:t>日</w:t>
      </w:r>
      <w:r>
        <w:rPr>
          <w:rFonts w:hint="eastAsia" w:asciiTheme="minorEastAsia" w:hAnsiTheme="minorEastAsia"/>
          <w:sz w:val="24"/>
          <w:lang w:val="en-US" w:eastAsia="zh-CN"/>
        </w:rPr>
        <w:t>14</w:t>
      </w:r>
      <w:r>
        <w:rPr>
          <w:rFonts w:hint="eastAsia" w:asciiTheme="minorEastAsia" w:hAnsiTheme="minorEastAsia"/>
          <w:sz w:val="24"/>
        </w:rPr>
        <w:t>时(如有变化电话通知)</w:t>
      </w:r>
    </w:p>
    <w:p>
      <w:pPr>
        <w:snapToGrid w:val="0"/>
        <w:spacing w:line="360" w:lineRule="auto"/>
        <w:jc w:val="left"/>
        <w:rPr>
          <w:rFonts w:asciiTheme="minorEastAsia" w:hAnsiTheme="minorEastAsia"/>
          <w:sz w:val="24"/>
        </w:rPr>
      </w:pPr>
      <w:r>
        <w:rPr>
          <w:rFonts w:hint="eastAsia" w:asciiTheme="minorEastAsia" w:hAnsiTheme="minorEastAsia"/>
          <w:sz w:val="24"/>
        </w:rPr>
        <w:t>2、开标地点：大庆市第五医院二部机关楼二楼会议室</w:t>
      </w:r>
    </w:p>
    <w:p>
      <w:pPr>
        <w:snapToGrid w:val="0"/>
        <w:spacing w:line="360" w:lineRule="auto"/>
        <w:jc w:val="left"/>
        <w:rPr>
          <w:rFonts w:asciiTheme="minorEastAsia" w:hAnsiTheme="minorEastAsia"/>
          <w:sz w:val="24"/>
        </w:rPr>
      </w:pPr>
      <w:r>
        <w:rPr>
          <w:rFonts w:hint="eastAsia" w:asciiTheme="minorEastAsia" w:hAnsiTheme="minorEastAsia"/>
          <w:sz w:val="24"/>
        </w:rPr>
        <w:t>3、开标会议由招标人组织并主持，投标人代表应携带法定代表人资格证明书原件和身份证件原件，非法定代表人参会应携带授权委托书原件和被授权人身份证件原件；在规定的开标时间到达会场，未按时参加开标会议的将视为自动弃权。</w:t>
      </w:r>
    </w:p>
    <w:p>
      <w:pPr>
        <w:snapToGrid w:val="0"/>
        <w:spacing w:line="360" w:lineRule="auto"/>
        <w:jc w:val="left"/>
        <w:rPr>
          <w:rFonts w:asciiTheme="minorEastAsia" w:hAnsiTheme="minorEastAsia"/>
          <w:sz w:val="24"/>
        </w:rPr>
      </w:pPr>
      <w:r>
        <w:rPr>
          <w:rFonts w:hint="eastAsia" w:asciiTheme="minorEastAsia" w:hAnsiTheme="minorEastAsia"/>
          <w:sz w:val="24"/>
        </w:rPr>
        <w:t>4、采购小组有权对投标文件提出质疑，并请投标人给予解释；转入评标阶段时，所有投标人应回避等候定标结果。</w:t>
      </w:r>
    </w:p>
    <w:p>
      <w:pPr>
        <w:pStyle w:val="8"/>
        <w:spacing w:before="0" w:beforeAutospacing="0" w:after="0" w:afterAutospacing="0" w:line="450" w:lineRule="atLeast"/>
        <w:rPr>
          <w:rFonts w:asciiTheme="minorEastAsia" w:hAnsiTheme="minorEastAsia"/>
          <w:b/>
          <w:bCs/>
        </w:rPr>
      </w:pPr>
      <w:r>
        <w:rPr>
          <w:rFonts w:hint="eastAsia" w:asciiTheme="minorEastAsia" w:hAnsiTheme="minorEastAsia"/>
          <w:b/>
          <w:bCs/>
        </w:rPr>
        <w:t>十三、评标原则</w:t>
      </w:r>
    </w:p>
    <w:p>
      <w:pPr>
        <w:pStyle w:val="18"/>
        <w:spacing w:beforeAutospacing="0" w:afterAutospacing="0" w:line="450" w:lineRule="atLeast"/>
        <w:rPr>
          <w:rFonts w:asciiTheme="minorEastAsia" w:hAnsiTheme="minorEastAsia" w:eastAsiaTheme="minorEastAsia"/>
        </w:rPr>
      </w:pPr>
      <w:r>
        <w:rPr>
          <w:rFonts w:hint="eastAsia" w:asciiTheme="minorEastAsia" w:hAnsiTheme="minorEastAsia" w:eastAsiaTheme="minorEastAsia"/>
        </w:rPr>
        <w:t>1、</w:t>
      </w:r>
      <w:r>
        <w:rPr>
          <w:rFonts w:hint="eastAsia"/>
        </w:rPr>
        <w:t>签署的投标文件必须符合本招标文件的各项要求</w:t>
      </w:r>
      <w:r>
        <w:rPr>
          <w:rFonts w:hint="eastAsia" w:asciiTheme="minorEastAsia" w:hAnsiTheme="minorEastAsia" w:eastAsiaTheme="minorEastAsia"/>
        </w:rPr>
        <w:t>。</w:t>
      </w:r>
    </w:p>
    <w:p>
      <w:pPr>
        <w:pStyle w:val="18"/>
        <w:spacing w:beforeAutospacing="0" w:afterAutospacing="0" w:line="450" w:lineRule="atLeast"/>
      </w:pPr>
      <w:r>
        <w:rPr>
          <w:rFonts w:hint="eastAsia"/>
        </w:rPr>
        <w:t>2、能提供最合理的投标报价。</w:t>
      </w:r>
    </w:p>
    <w:p>
      <w:pPr>
        <w:pStyle w:val="18"/>
        <w:spacing w:beforeAutospacing="0" w:afterAutospacing="0" w:line="450" w:lineRule="atLeast"/>
        <w:rPr>
          <w:rFonts w:asciiTheme="minorEastAsia" w:hAnsiTheme="minorEastAsia" w:eastAsiaTheme="minorEastAsia"/>
        </w:rPr>
      </w:pPr>
      <w:r>
        <w:rPr>
          <w:rFonts w:hint="eastAsia"/>
        </w:rPr>
        <w:t>3、服务承诺及具体服务保证措施。</w:t>
      </w:r>
    </w:p>
    <w:p>
      <w:pPr>
        <w:pStyle w:val="8"/>
        <w:spacing w:before="0" w:beforeAutospacing="0" w:after="0" w:afterAutospacing="0" w:line="450" w:lineRule="atLeast"/>
        <w:rPr>
          <w:rFonts w:asciiTheme="minorEastAsia" w:hAnsiTheme="minorEastAsia"/>
        </w:rPr>
      </w:pPr>
      <w:r>
        <w:rPr>
          <w:rFonts w:hint="eastAsia" w:asciiTheme="minorEastAsia" w:hAnsiTheme="minorEastAsia"/>
        </w:rPr>
        <w:t>4、质量承诺及具体质量保证措施。</w:t>
      </w:r>
    </w:p>
    <w:p>
      <w:pPr>
        <w:pStyle w:val="8"/>
        <w:spacing w:before="0" w:beforeAutospacing="0" w:after="0" w:afterAutospacing="0" w:line="450" w:lineRule="atLeast"/>
        <w:rPr>
          <w:rFonts w:asciiTheme="minorEastAsia" w:hAnsiTheme="minorEastAsia"/>
        </w:rPr>
      </w:pPr>
      <w:r>
        <w:rPr>
          <w:rFonts w:hint="eastAsia" w:asciiTheme="minorEastAsia" w:hAnsiTheme="minorEastAsia"/>
        </w:rPr>
        <w:t>5、</w:t>
      </w:r>
      <w:r>
        <w:rPr>
          <w:rFonts w:hint="eastAsia"/>
        </w:rPr>
        <w:t>投标报价最低者推荐为中标供应商</w:t>
      </w:r>
      <w:r>
        <w:rPr>
          <w:rFonts w:hint="eastAsia" w:asciiTheme="minorEastAsia" w:hAnsiTheme="minorEastAsia"/>
        </w:rPr>
        <w:t>。</w:t>
      </w:r>
    </w:p>
    <w:p>
      <w:pPr>
        <w:pStyle w:val="8"/>
        <w:spacing w:before="0" w:beforeAutospacing="0" w:after="0" w:afterAutospacing="0" w:line="450" w:lineRule="atLeast"/>
        <w:rPr>
          <w:rFonts w:asciiTheme="minorEastAsia" w:hAnsiTheme="minorEastAsia"/>
          <w:b/>
          <w:bCs/>
        </w:rPr>
      </w:pPr>
      <w:r>
        <w:rPr>
          <w:rFonts w:hint="eastAsia" w:asciiTheme="minorEastAsia" w:hAnsiTheme="minorEastAsia"/>
          <w:b/>
          <w:bCs/>
        </w:rPr>
        <w:t>十四、质疑答复</w:t>
      </w:r>
    </w:p>
    <w:p>
      <w:pPr>
        <w:pStyle w:val="8"/>
        <w:spacing w:before="0" w:beforeAutospacing="0" w:after="0" w:afterAutospacing="0" w:line="450" w:lineRule="atLeast"/>
        <w:rPr>
          <w:rFonts w:asciiTheme="minorEastAsia" w:hAnsiTheme="minorEastAsia"/>
        </w:rPr>
      </w:pPr>
      <w:r>
        <w:rPr>
          <w:rFonts w:hint="eastAsia" w:asciiTheme="minorEastAsia" w:hAnsiTheme="minorEastAsia"/>
        </w:rPr>
        <w:t>1、投标方可在现场提出质疑问题。</w:t>
      </w:r>
    </w:p>
    <w:p>
      <w:pPr>
        <w:pStyle w:val="8"/>
        <w:spacing w:before="0" w:beforeAutospacing="0" w:after="0" w:afterAutospacing="0" w:line="450" w:lineRule="atLeast"/>
        <w:rPr>
          <w:rFonts w:asciiTheme="minorEastAsia" w:hAnsiTheme="minorEastAsia"/>
        </w:rPr>
      </w:pPr>
      <w:r>
        <w:rPr>
          <w:rFonts w:hint="eastAsia" w:asciiTheme="minorEastAsia" w:hAnsiTheme="minorEastAsia"/>
        </w:rPr>
        <w:t>2、技术方面问题由评委答复。</w:t>
      </w:r>
    </w:p>
    <w:p>
      <w:pPr>
        <w:pStyle w:val="8"/>
        <w:spacing w:before="0" w:beforeAutospacing="0" w:after="0" w:afterAutospacing="0" w:line="450" w:lineRule="atLeast"/>
        <w:rPr>
          <w:rFonts w:asciiTheme="minorEastAsia" w:hAnsiTheme="minorEastAsia"/>
        </w:rPr>
      </w:pPr>
      <w:r>
        <w:rPr>
          <w:rFonts w:hint="eastAsia" w:asciiTheme="minorEastAsia" w:hAnsiTheme="minorEastAsia"/>
        </w:rPr>
        <w:t>3、公平性问题由纪检答复。</w:t>
      </w:r>
    </w:p>
    <w:p>
      <w:pPr>
        <w:pStyle w:val="8"/>
        <w:spacing w:before="0" w:beforeAutospacing="0" w:after="0" w:afterAutospacing="0" w:line="450" w:lineRule="atLeast"/>
        <w:rPr>
          <w:rFonts w:asciiTheme="minorEastAsia" w:hAnsiTheme="minorEastAsia"/>
        </w:rPr>
      </w:pPr>
      <w:r>
        <w:rPr>
          <w:rFonts w:hint="eastAsia" w:asciiTheme="minorEastAsia" w:hAnsiTheme="minorEastAsia"/>
        </w:rPr>
        <w:t>4、不允许投标方查看院方任何资料。</w:t>
      </w:r>
    </w:p>
    <w:p>
      <w:pPr>
        <w:pStyle w:val="8"/>
        <w:spacing w:before="0" w:beforeAutospacing="0" w:after="0" w:afterAutospacing="0" w:line="450" w:lineRule="atLeast"/>
        <w:rPr>
          <w:rFonts w:asciiTheme="minorEastAsia" w:hAnsiTheme="minorEastAsia"/>
          <w:b/>
          <w:bCs/>
          <w:color w:val="000000" w:themeColor="text1"/>
          <w14:textFill>
            <w14:solidFill>
              <w14:schemeClr w14:val="tx1"/>
            </w14:solidFill>
          </w14:textFill>
        </w:rPr>
      </w:pPr>
      <w:r>
        <w:rPr>
          <w:rFonts w:hint="eastAsia" w:asciiTheme="minorEastAsia" w:hAnsiTheme="minorEastAsia"/>
          <w:b/>
          <w:bCs/>
          <w:color w:val="000000" w:themeColor="text1"/>
          <w14:textFill>
            <w14:solidFill>
              <w14:schemeClr w14:val="tx1"/>
            </w14:solidFill>
          </w14:textFill>
        </w:rPr>
        <w:t>十五、违约责任</w:t>
      </w:r>
    </w:p>
    <w:p>
      <w:pPr>
        <w:pStyle w:val="8"/>
        <w:spacing w:line="450" w:lineRule="atLeast"/>
        <w:rPr>
          <w:bCs/>
          <w:color w:val="000000"/>
        </w:rPr>
      </w:pPr>
      <w:r>
        <w:rPr>
          <w:rFonts w:hint="eastAsia"/>
          <w:bCs/>
          <w:color w:val="000000"/>
        </w:rPr>
        <w:t>1、合作方在价格、质量、数量、服务等方面出现违约行为，医院有权终止合同并追究责任。并承担由于服务质量问题而产生的一切费用。</w:t>
      </w:r>
    </w:p>
    <w:p>
      <w:pPr>
        <w:pStyle w:val="8"/>
        <w:spacing w:line="450" w:lineRule="atLeast"/>
        <w:rPr>
          <w:bCs/>
          <w:color w:val="000000"/>
        </w:rPr>
      </w:pPr>
      <w:r>
        <w:rPr>
          <w:rFonts w:hint="eastAsia"/>
          <w:bCs/>
          <w:color w:val="000000"/>
        </w:rPr>
        <w:t>2、如中标产品质量或服务不达标，被临床科室投诉三次以上，经核实确认后直接终止合同。相关产品重新招标，中标公司及其代理品牌不得继续参与投标。</w:t>
      </w:r>
    </w:p>
    <w:p>
      <w:pPr>
        <w:pStyle w:val="8"/>
        <w:spacing w:line="450" w:lineRule="atLeast"/>
        <w:rPr>
          <w:bCs/>
          <w:color w:val="000000"/>
        </w:rPr>
      </w:pPr>
      <w:r>
        <w:rPr>
          <w:rFonts w:hint="eastAsia"/>
          <w:bCs/>
          <w:color w:val="000000"/>
        </w:rPr>
        <w:t>3、如在合同期内，合同与法律、法规或政府行政部门要求发生抵触，则应按法律、法规或政府行政部门要求规定执行。</w:t>
      </w:r>
    </w:p>
    <w:p>
      <w:pPr>
        <w:pStyle w:val="8"/>
        <w:spacing w:line="450" w:lineRule="atLeast"/>
        <w:rPr>
          <w:bCs/>
          <w:color w:val="000000"/>
        </w:rPr>
      </w:pPr>
      <w:r>
        <w:rPr>
          <w:rFonts w:hint="eastAsia"/>
          <w:bCs/>
          <w:color w:val="000000"/>
        </w:rPr>
        <w:t>4、合作方不能按时提供服务或超时提供服务而影响医院工作的，承担相关责任。</w:t>
      </w:r>
    </w:p>
    <w:p>
      <w:pPr>
        <w:pStyle w:val="8"/>
        <w:spacing w:before="0" w:beforeAutospacing="0" w:after="0" w:afterAutospacing="0" w:line="450" w:lineRule="atLeast"/>
        <w:rPr>
          <w:bCs/>
          <w:color w:val="000000"/>
        </w:rPr>
      </w:pPr>
      <w:r>
        <w:rPr>
          <w:rFonts w:hint="eastAsia"/>
          <w:bCs/>
          <w:color w:val="000000"/>
        </w:rPr>
        <w:t>5、如有恶意投标行为，进入大庆市第五医院黑名单，5年内不准许参加大庆市第五医院招标活动，并上报大庆市招标办，涉及违法行为的按照法律程序处理。如有围标、串标行为的，将依法予以处理。</w:t>
      </w:r>
    </w:p>
    <w:p>
      <w:pPr>
        <w:pStyle w:val="8"/>
        <w:spacing w:before="0" w:beforeAutospacing="0" w:after="0" w:afterAutospacing="0" w:line="450" w:lineRule="atLeast"/>
        <w:rPr>
          <w:rFonts w:asciiTheme="minorEastAsia" w:hAnsiTheme="minorEastAsia"/>
          <w:b/>
          <w:bCs/>
          <w:color w:val="000000" w:themeColor="text1"/>
          <w14:textFill>
            <w14:solidFill>
              <w14:schemeClr w14:val="tx1"/>
            </w14:solidFill>
          </w14:textFill>
        </w:rPr>
      </w:pPr>
      <w:r>
        <w:rPr>
          <w:rFonts w:hint="eastAsia" w:asciiTheme="minorEastAsia" w:hAnsiTheme="minorEastAsia"/>
          <w:b/>
          <w:bCs/>
          <w:color w:val="000000" w:themeColor="text1"/>
          <w14:textFill>
            <w14:solidFill>
              <w14:schemeClr w14:val="tx1"/>
            </w14:solidFill>
          </w14:textFill>
        </w:rPr>
        <w:t>十六、</w:t>
      </w:r>
      <w:r>
        <w:rPr>
          <w:rFonts w:hint="eastAsia" w:asciiTheme="minorEastAsia" w:hAnsiTheme="minorEastAsia" w:eastAsiaTheme="minorEastAsia"/>
          <w:b/>
          <w:bCs/>
          <w:color w:val="000000" w:themeColor="text1"/>
          <w14:textFill>
            <w14:solidFill>
              <w14:schemeClr w14:val="tx1"/>
            </w14:solidFill>
          </w14:textFill>
        </w:rPr>
        <w:t>接到中标通知后，三日内到医院招采办签订</w:t>
      </w:r>
      <w:r>
        <w:rPr>
          <w:rFonts w:hint="eastAsia" w:asciiTheme="minorEastAsia" w:hAnsiTheme="minorEastAsia" w:eastAsiaTheme="minorEastAsia"/>
          <w:b/>
          <w:bCs/>
          <w:color w:val="000000" w:themeColor="text1"/>
          <w:lang w:val="en-US" w:eastAsia="zh-CN"/>
          <w14:textFill>
            <w14:solidFill>
              <w14:schemeClr w14:val="tx1"/>
            </w14:solidFill>
          </w14:textFill>
        </w:rPr>
        <w:t>采购</w:t>
      </w:r>
      <w:r>
        <w:rPr>
          <w:rFonts w:hint="eastAsia" w:asciiTheme="minorEastAsia" w:hAnsiTheme="minorEastAsia" w:eastAsiaTheme="minorEastAsia"/>
          <w:b/>
          <w:bCs/>
          <w:color w:val="000000" w:themeColor="text1"/>
          <w14:textFill>
            <w14:solidFill>
              <w14:schemeClr w14:val="tx1"/>
            </w14:solidFill>
          </w14:textFill>
        </w:rPr>
        <w:t>合同</w:t>
      </w:r>
    </w:p>
    <w:p>
      <w:pPr>
        <w:pStyle w:val="8"/>
        <w:spacing w:before="0" w:beforeAutospacing="0" w:after="0" w:afterAutospacing="0" w:line="450" w:lineRule="atLeast"/>
        <w:rPr>
          <w:rFonts w:asciiTheme="minorEastAsia" w:hAnsiTheme="minorEastAsia"/>
          <w:b/>
          <w:bCs/>
          <w:color w:val="000000" w:themeColor="text1"/>
          <w14:textFill>
            <w14:solidFill>
              <w14:schemeClr w14:val="tx1"/>
            </w14:solidFill>
          </w14:textFill>
        </w:rPr>
      </w:pPr>
    </w:p>
    <w:p>
      <w:pPr>
        <w:pStyle w:val="8"/>
        <w:spacing w:before="0" w:beforeAutospacing="0" w:after="0" w:afterAutospacing="0" w:line="450" w:lineRule="atLeast"/>
        <w:rPr>
          <w:rFonts w:asciiTheme="minorEastAsia" w:hAnsiTheme="minorEastAsia"/>
          <w:b/>
          <w:bCs/>
          <w:color w:val="000000" w:themeColor="text1"/>
          <w14:textFill>
            <w14:solidFill>
              <w14:schemeClr w14:val="tx1"/>
            </w14:solidFill>
          </w14:textFill>
        </w:rPr>
      </w:pPr>
    </w:p>
    <w:p>
      <w:pPr>
        <w:pStyle w:val="8"/>
        <w:spacing w:before="0" w:beforeAutospacing="0" w:after="0" w:afterAutospacing="0" w:line="450" w:lineRule="atLeast"/>
        <w:rPr>
          <w:rFonts w:asciiTheme="minorEastAsia" w:hAnsiTheme="minorEastAsia"/>
          <w:b/>
          <w:bCs/>
          <w:color w:val="000000" w:themeColor="text1"/>
          <w14:textFill>
            <w14:solidFill>
              <w14:schemeClr w14:val="tx1"/>
            </w14:solidFill>
          </w14:textFill>
        </w:rPr>
      </w:pPr>
    </w:p>
    <w:p>
      <w:pPr>
        <w:pStyle w:val="8"/>
        <w:spacing w:before="0" w:beforeAutospacing="0" w:after="0" w:afterAutospacing="0" w:line="450" w:lineRule="atLeast"/>
        <w:rPr>
          <w:rFonts w:asciiTheme="minorEastAsia" w:hAnsiTheme="minorEastAsia"/>
          <w:b/>
          <w:bCs/>
          <w:color w:val="000000" w:themeColor="text1"/>
          <w14:textFill>
            <w14:solidFill>
              <w14:schemeClr w14:val="tx1"/>
            </w14:solidFill>
          </w14:textFill>
        </w:rPr>
      </w:pPr>
    </w:p>
    <w:p>
      <w:pPr>
        <w:pStyle w:val="8"/>
        <w:spacing w:before="0" w:beforeAutospacing="0" w:after="0" w:afterAutospacing="0" w:line="440" w:lineRule="exact"/>
        <w:rPr>
          <w:rFonts w:asciiTheme="minorEastAsia" w:hAnsiTheme="minorEastAsia"/>
          <w:b/>
          <w:sz w:val="36"/>
          <w:szCs w:val="36"/>
        </w:rPr>
      </w:pPr>
    </w:p>
    <w:p>
      <w:pPr>
        <w:pStyle w:val="8"/>
        <w:spacing w:before="0" w:beforeAutospacing="0" w:after="0" w:afterAutospacing="0" w:line="440" w:lineRule="exact"/>
        <w:rPr>
          <w:rFonts w:asciiTheme="minorEastAsia" w:hAnsiTheme="minorEastAsia"/>
          <w:b/>
          <w:sz w:val="36"/>
          <w:szCs w:val="36"/>
        </w:rPr>
      </w:pPr>
    </w:p>
    <w:p>
      <w:pPr>
        <w:pStyle w:val="8"/>
        <w:spacing w:before="0" w:beforeAutospacing="0" w:after="0" w:afterAutospacing="0" w:line="440" w:lineRule="exact"/>
        <w:rPr>
          <w:rFonts w:asciiTheme="minorEastAsia" w:hAnsiTheme="minorEastAsia"/>
          <w:b/>
          <w:sz w:val="36"/>
          <w:szCs w:val="36"/>
        </w:rPr>
      </w:pPr>
    </w:p>
    <w:p>
      <w:pPr>
        <w:pStyle w:val="8"/>
        <w:spacing w:before="0" w:beforeAutospacing="0" w:after="0" w:afterAutospacing="0" w:line="440" w:lineRule="exact"/>
        <w:rPr>
          <w:rFonts w:asciiTheme="minorEastAsia" w:hAnsiTheme="minorEastAsia"/>
          <w:b/>
          <w:sz w:val="36"/>
          <w:szCs w:val="36"/>
        </w:rPr>
      </w:pPr>
    </w:p>
    <w:p>
      <w:pPr>
        <w:rPr>
          <w:rFonts w:hint="eastAsia"/>
          <w:sz w:val="28"/>
          <w:szCs w:val="28"/>
        </w:rPr>
      </w:pPr>
    </w:p>
    <w:p>
      <w:pPr>
        <w:rPr>
          <w:sz w:val="28"/>
          <w:szCs w:val="28"/>
        </w:rPr>
      </w:pPr>
      <w:r>
        <w:rPr>
          <w:rFonts w:hint="eastAsia"/>
          <w:sz w:val="28"/>
          <w:szCs w:val="28"/>
        </w:rPr>
        <w:t>附件：</w:t>
      </w:r>
    </w:p>
    <w:p>
      <w:pPr>
        <w:widowControl/>
        <w:jc w:val="left"/>
        <w:rPr>
          <w:rFonts w:cs="宋体"/>
          <w:color w:val="000000"/>
          <w:kern w:val="0"/>
          <w:sz w:val="28"/>
          <w:szCs w:val="28"/>
        </w:rPr>
      </w:pPr>
      <w:r>
        <w:rPr>
          <w:rFonts w:hint="eastAsia" w:cs="宋体"/>
          <w:color w:val="000000"/>
          <w:kern w:val="0"/>
          <w:sz w:val="28"/>
          <w:szCs w:val="28"/>
        </w:rPr>
        <w:t>技术参数及服务要求：</w:t>
      </w:r>
    </w:p>
    <w:p>
      <w:pPr>
        <w:rPr>
          <w:rFonts w:ascii="仿宋_GB2312" w:hAnsi="宋体" w:eastAsia="仿宋_GB2312"/>
          <w:szCs w:val="21"/>
        </w:rPr>
      </w:pPr>
      <w:r>
        <w:rPr>
          <w:rFonts w:hint="eastAsia" w:ascii="仿宋_GB2312" w:hAnsi="宋体" w:eastAsia="仿宋_GB2312"/>
          <w:szCs w:val="21"/>
        </w:rPr>
        <w:t>1.设备结构：一体机，仪器自带打印机</w:t>
      </w:r>
    </w:p>
    <w:p>
      <w:pPr>
        <w:rPr>
          <w:rFonts w:ascii="仿宋_GB2312" w:hAnsi="宋体" w:eastAsia="仿宋_GB2312"/>
          <w:szCs w:val="21"/>
        </w:rPr>
      </w:pPr>
      <w:r>
        <w:rPr>
          <w:rFonts w:hint="eastAsia" w:ascii="仿宋_GB2312" w:hAnsi="宋体" w:eastAsia="仿宋_GB2312"/>
          <w:szCs w:val="21"/>
        </w:rPr>
        <w:t>2.检测方法：免疫荧光分析定量法</w:t>
      </w:r>
    </w:p>
    <w:p>
      <w:pPr>
        <w:rPr>
          <w:rFonts w:ascii="仿宋_GB2312" w:hAnsi="宋体" w:eastAsia="仿宋_GB2312"/>
          <w:szCs w:val="21"/>
        </w:rPr>
      </w:pPr>
      <w:r>
        <w:rPr>
          <w:rFonts w:hint="eastAsia" w:ascii="仿宋_GB2312" w:hAnsi="宋体" w:eastAsia="仿宋_GB2312"/>
          <w:szCs w:val="21"/>
        </w:rPr>
        <w:t>3.★检测速度：不小于40个测试/小时，≥10个检测通道</w:t>
      </w:r>
    </w:p>
    <w:p>
      <w:pPr>
        <w:rPr>
          <w:rFonts w:ascii="仿宋_GB2312" w:hAnsi="宋体" w:eastAsia="仿宋_GB2312"/>
          <w:szCs w:val="21"/>
        </w:rPr>
      </w:pPr>
      <w:r>
        <w:rPr>
          <w:rFonts w:hint="eastAsia" w:ascii="仿宋_GB2312" w:hAnsi="宋体" w:eastAsia="仿宋_GB2312"/>
          <w:szCs w:val="21"/>
        </w:rPr>
        <w:t>4.★心肌类项目检测时间均不超过15分钟</w:t>
      </w:r>
    </w:p>
    <w:p>
      <w:pPr>
        <w:rPr>
          <w:rFonts w:ascii="仿宋_GB2312" w:hAnsi="宋体" w:eastAsia="仿宋_GB2312"/>
          <w:szCs w:val="21"/>
        </w:rPr>
      </w:pPr>
      <w:r>
        <w:rPr>
          <w:rFonts w:hint="eastAsia" w:ascii="仿宋_GB2312" w:hAnsi="宋体" w:eastAsia="仿宋_GB2312"/>
          <w:szCs w:val="21"/>
        </w:rPr>
        <w:t>5.工作模式：同时间多项目检测，全自动机内操作模式</w:t>
      </w:r>
    </w:p>
    <w:p>
      <w:pPr>
        <w:rPr>
          <w:rFonts w:ascii="仿宋_GB2312" w:hAnsi="宋体" w:eastAsia="仿宋_GB2312"/>
          <w:szCs w:val="21"/>
        </w:rPr>
      </w:pPr>
      <w:r>
        <w:rPr>
          <w:rFonts w:hint="eastAsia" w:ascii="仿宋_GB2312" w:hAnsi="宋体" w:eastAsia="仿宋_GB2312"/>
          <w:szCs w:val="21"/>
        </w:rPr>
        <w:t>6.操作：开机无需预热，迅速进入待测状态</w:t>
      </w:r>
    </w:p>
    <w:p>
      <w:pPr>
        <w:rPr>
          <w:rFonts w:ascii="仿宋_GB2312" w:hAnsi="宋体" w:eastAsia="仿宋_GB2312"/>
          <w:szCs w:val="21"/>
        </w:rPr>
      </w:pPr>
      <w:r>
        <w:rPr>
          <w:rFonts w:hint="eastAsia" w:ascii="仿宋_GB2312" w:hAnsi="宋体" w:eastAsia="仿宋_GB2312"/>
          <w:szCs w:val="21"/>
        </w:rPr>
        <w:t>校准质控系统：有内置质控管理系统,具备厂家配套质控品。</w:t>
      </w:r>
    </w:p>
    <w:p>
      <w:pPr>
        <w:rPr>
          <w:rFonts w:ascii="仿宋_GB2312" w:hAnsi="宋体" w:eastAsia="仿宋_GB2312"/>
          <w:szCs w:val="21"/>
        </w:rPr>
      </w:pPr>
      <w:r>
        <w:rPr>
          <w:rFonts w:hint="eastAsia" w:ascii="仿宋_GB2312" w:hAnsi="宋体" w:eastAsia="仿宋_GB2312"/>
          <w:szCs w:val="21"/>
        </w:rPr>
        <w:t>7.★信息化管理：提供与医院现行实验室管理系统联机服务和联机电脑</w:t>
      </w:r>
    </w:p>
    <w:p>
      <w:pPr>
        <w:rPr>
          <w:rFonts w:ascii="仿宋_GB2312" w:hAnsi="宋体" w:eastAsia="仿宋_GB2312"/>
          <w:szCs w:val="21"/>
        </w:rPr>
      </w:pPr>
      <w:r>
        <w:rPr>
          <w:rFonts w:hint="eastAsia" w:ascii="仿宋_GB2312" w:hAnsi="宋体" w:eastAsia="仿宋_GB2312"/>
          <w:szCs w:val="21"/>
        </w:rPr>
        <w:t>8.仪器可存储不少于5000个结果，可智能选择结果查询时间区间进行结果管理</w:t>
      </w:r>
    </w:p>
    <w:p>
      <w:pPr>
        <w:rPr>
          <w:rFonts w:ascii="仿宋_GB2312" w:hAnsi="宋体" w:eastAsia="仿宋_GB2312"/>
          <w:szCs w:val="21"/>
        </w:rPr>
      </w:pPr>
      <w:r>
        <w:rPr>
          <w:rFonts w:hint="eastAsia" w:ascii="仿宋_GB2312" w:hAnsi="宋体" w:eastAsia="仿宋_GB2312"/>
          <w:szCs w:val="21"/>
        </w:rPr>
        <w:t>9.样本类型：全血、血清、血浆、微量末梢血</w:t>
      </w:r>
    </w:p>
    <w:p>
      <w:pPr>
        <w:rPr>
          <w:rFonts w:ascii="仿宋_GB2312" w:hAnsi="宋体" w:eastAsia="仿宋_GB2312"/>
          <w:szCs w:val="21"/>
        </w:rPr>
      </w:pPr>
      <w:r>
        <w:rPr>
          <w:rFonts w:hint="eastAsia" w:ascii="仿宋_GB2312" w:hAnsi="宋体" w:eastAsia="仿宋_GB2312"/>
          <w:szCs w:val="21"/>
        </w:rPr>
        <w:t>10.★检测项目：CTn</w:t>
      </w:r>
      <w:r>
        <w:rPr>
          <w:rFonts w:hint="eastAsia" w:ascii="仿宋_GB2312" w:eastAsia="仿宋_GB2312"/>
          <w:szCs w:val="21"/>
        </w:rPr>
        <w:t>I</w:t>
      </w:r>
      <w:r>
        <w:rPr>
          <w:rFonts w:hint="eastAsia" w:ascii="仿宋_GB2312" w:hAnsi="宋体" w:eastAsia="仿宋_GB2312"/>
          <w:szCs w:val="21"/>
        </w:rPr>
        <w:t>、CK-MB、Myo、CTn</w:t>
      </w:r>
      <w:r>
        <w:rPr>
          <w:rFonts w:hint="eastAsia" w:ascii="仿宋_GB2312" w:eastAsia="仿宋_GB2312"/>
          <w:szCs w:val="21"/>
        </w:rPr>
        <w:t>I/Myo</w:t>
      </w:r>
      <w:r>
        <w:rPr>
          <w:rFonts w:hint="eastAsia" w:ascii="仿宋_GB2312" w:hAnsi="宋体" w:eastAsia="仿宋_GB2312"/>
          <w:szCs w:val="21"/>
        </w:rPr>
        <w:t xml:space="preserve">/CK-MB心梗三联卡、D-Dimer、PCT、hCRP /CRP、proBNP </w:t>
      </w:r>
    </w:p>
    <w:p>
      <w:pPr>
        <w:rPr>
          <w:rFonts w:ascii="仿宋_GB2312" w:hAnsi="宋体" w:eastAsia="仿宋_GB2312"/>
          <w:szCs w:val="21"/>
        </w:rPr>
      </w:pPr>
      <w:r>
        <w:rPr>
          <w:rFonts w:hint="eastAsia" w:ascii="仿宋_GB2312" w:hAnsi="宋体" w:eastAsia="仿宋_GB2312"/>
          <w:szCs w:val="21"/>
        </w:rPr>
        <w:t>11.模块可拓展检测项目，如H-FABP、IL-6、HbA1c、Lp-PLA2、SAA</w:t>
      </w:r>
    </w:p>
    <w:p>
      <w:pPr>
        <w:rPr>
          <w:rFonts w:ascii="仿宋_GB2312" w:hAnsi="宋体" w:eastAsia="仿宋_GB2312"/>
          <w:szCs w:val="21"/>
        </w:rPr>
      </w:pPr>
      <w:r>
        <w:rPr>
          <w:rFonts w:hint="eastAsia" w:ascii="仿宋_GB2312" w:hAnsi="宋体" w:eastAsia="仿宋_GB2312"/>
          <w:szCs w:val="21"/>
        </w:rPr>
        <w:t>12.试剂卡质量控制：有内部标准作为试剂卡内部质控，对每个测试的变异因素进行校正</w:t>
      </w:r>
    </w:p>
    <w:p>
      <w:pPr>
        <w:rPr>
          <w:rFonts w:ascii="仿宋_GB2312" w:hAnsi="宋体" w:eastAsia="仿宋_GB2312"/>
          <w:szCs w:val="21"/>
        </w:rPr>
      </w:pPr>
      <w:r>
        <w:rPr>
          <w:rFonts w:hint="eastAsia" w:ascii="仿宋_GB2312" w:hAnsi="宋体" w:eastAsia="仿宋_GB2312"/>
          <w:szCs w:val="21"/>
        </w:rPr>
        <w:t>13.★试剂卡效期：常温保存不少于12个月</w:t>
      </w:r>
    </w:p>
    <w:p>
      <w:pPr>
        <w:rPr>
          <w:rFonts w:ascii="仿宋_GB2312" w:hAnsi="宋体" w:eastAsia="仿宋_GB2312"/>
          <w:szCs w:val="21"/>
        </w:rPr>
      </w:pPr>
      <w:r>
        <w:rPr>
          <w:rFonts w:hint="eastAsia" w:ascii="仿宋_GB2312" w:hAnsi="宋体" w:eastAsia="仿宋_GB2312"/>
          <w:szCs w:val="21"/>
        </w:rPr>
        <w:t>14.维护保养：无液路，无需其他维护保养</w:t>
      </w:r>
    </w:p>
    <w:p>
      <w:pPr>
        <w:rPr>
          <w:rFonts w:ascii="仿宋_GB2312" w:hAnsi="宋体" w:eastAsia="仿宋_GB2312"/>
          <w:szCs w:val="21"/>
        </w:rPr>
      </w:pPr>
      <w:r>
        <w:rPr>
          <w:rFonts w:hint="eastAsia" w:ascii="仿宋_GB2312" w:hAnsi="宋体" w:eastAsia="仿宋_GB2312"/>
          <w:szCs w:val="21"/>
        </w:rPr>
        <w:t>15.精密性：变异系数（CV值）≤10％</w:t>
      </w:r>
    </w:p>
    <w:p>
      <w:pPr>
        <w:spacing w:line="360" w:lineRule="exact"/>
        <w:rPr>
          <w:bCs/>
          <w:szCs w:val="21"/>
        </w:rPr>
      </w:pPr>
    </w:p>
    <w:p>
      <w:pPr>
        <w:pStyle w:val="2"/>
        <w:spacing w:line="240" w:lineRule="auto"/>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注：以上参数中★条款为必须满足项。非★条款不得超过3项（含3项）不满足。</w:t>
      </w:r>
    </w:p>
    <w:p>
      <w:pPr>
        <w:rPr>
          <w:rFonts w:ascii="仿宋_GB2312" w:hAnsi="宋体" w:eastAsia="仿宋_GB2312"/>
          <w:szCs w:val="21"/>
        </w:rPr>
      </w:pPr>
      <w:r>
        <w:rPr>
          <w:rFonts w:hint="eastAsia" w:ascii="仿宋_GB2312" w:hAnsi="宋体" w:eastAsia="仿宋_GB2312"/>
          <w:szCs w:val="21"/>
        </w:rPr>
        <w:t>服务要求：</w:t>
      </w:r>
    </w:p>
    <w:p>
      <w:pPr>
        <w:rPr>
          <w:rFonts w:ascii="仿宋_GB2312" w:hAnsi="宋体" w:eastAsia="仿宋_GB2312"/>
          <w:szCs w:val="21"/>
        </w:rPr>
      </w:pPr>
      <w:r>
        <w:rPr>
          <w:rFonts w:hint="eastAsia" w:ascii="仿宋_GB2312" w:hAnsi="宋体" w:eastAsia="仿宋_GB2312"/>
          <w:szCs w:val="21"/>
        </w:rPr>
        <w:t>1、质保期不少于2年</w:t>
      </w:r>
    </w:p>
    <w:p>
      <w:pPr>
        <w:rPr>
          <w:rFonts w:ascii="仿宋_GB2312" w:hAnsi="宋体" w:eastAsia="仿宋_GB2312"/>
          <w:szCs w:val="21"/>
        </w:rPr>
      </w:pPr>
      <w:r>
        <w:rPr>
          <w:rFonts w:hint="eastAsia" w:ascii="仿宋_GB2312" w:hAnsi="宋体" w:eastAsia="仿宋_GB2312"/>
          <w:szCs w:val="21"/>
        </w:rPr>
        <w:t>2、接到维修通知后，2小时内响应，48小时内实施维修服务</w:t>
      </w:r>
    </w:p>
    <w:p>
      <w:pPr>
        <w:rPr>
          <w:rFonts w:ascii="仿宋_GB2312" w:hAnsi="宋体" w:eastAsia="仿宋_GB2312"/>
          <w:szCs w:val="21"/>
        </w:rPr>
      </w:pPr>
      <w:r>
        <w:rPr>
          <w:rFonts w:hint="eastAsia" w:ascii="仿宋_GB2312" w:hAnsi="宋体" w:eastAsia="仿宋_GB2312"/>
          <w:szCs w:val="21"/>
        </w:rPr>
        <w:t>3、终身免费提供技术服务、技术支持及咨询服务，在任何时候、任何地点均可享受到终生的免费咨询服务</w:t>
      </w:r>
    </w:p>
    <w:p>
      <w:pPr>
        <w:rPr>
          <w:rFonts w:ascii="仿宋_GB2312" w:hAnsi="宋体" w:eastAsia="仿宋_GB2312"/>
          <w:szCs w:val="21"/>
        </w:rPr>
      </w:pPr>
      <w:r>
        <w:rPr>
          <w:rFonts w:hint="eastAsia" w:ascii="仿宋_GB2312" w:hAnsi="宋体" w:eastAsia="仿宋_GB2312"/>
          <w:szCs w:val="21"/>
        </w:rPr>
        <w:t>4、提供免费培训服务</w:t>
      </w:r>
    </w:p>
    <w:p>
      <w:pPr>
        <w:pStyle w:val="8"/>
        <w:spacing w:before="0" w:beforeAutospacing="0" w:after="0" w:afterAutospacing="0" w:line="450" w:lineRule="atLeast"/>
        <w:rPr>
          <w:rFonts w:asciiTheme="minorEastAsia" w:hAnsiTheme="minorEastAsia"/>
          <w:bCs/>
          <w:color w:val="000000" w:themeColor="text1"/>
          <w14:textFill>
            <w14:solidFill>
              <w14:schemeClr w14:val="tx1"/>
            </w14:solidFill>
          </w14:textFill>
        </w:rPr>
      </w:pPr>
    </w:p>
    <w:p>
      <w:pPr>
        <w:rPr>
          <w:szCs w:val="30"/>
        </w:rPr>
      </w:pPr>
    </w:p>
    <w:sectPr>
      <w:headerReference r:id="rId3" w:type="default"/>
      <w:footerReference r:id="rId4" w:type="default"/>
      <w:pgSz w:w="11906" w:h="16838"/>
      <w:pgMar w:top="1440" w:right="1797" w:bottom="1276" w:left="1797"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2"/>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w:t>
                          </w:r>
                          <w:r>
                            <w:rPr>
                              <w:rFonts w:hint="eastAsia"/>
                              <w:sz w:val="18"/>
                            </w:rPr>
                            <w:fldChar w:fldCharType="end"/>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M+L&#10;3UTQAAAAAgEAAA8AAAAAAAAAAQAgAAAAIgAAAGRycy9kb3ducmV2LnhtbFBLAQIUABQAAAAIAIdO&#10;4kD53YI4uQEAAFYDAAAOAAAAAAAAAAEAIAAAAB8BAABkcnMvZTJvRG9jLnhtbFBLBQYAAAAABgAG&#10;AFkBAABKBQ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DF2CF0"/>
    <w:multiLevelType w:val="singleLevel"/>
    <w:tmpl w:val="2DDF2CF0"/>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hideSpellingErrors/>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13F4"/>
    <w:rsid w:val="00001383"/>
    <w:rsid w:val="000035E9"/>
    <w:rsid w:val="00015695"/>
    <w:rsid w:val="00017A17"/>
    <w:rsid w:val="000213AC"/>
    <w:rsid w:val="00023C5B"/>
    <w:rsid w:val="00023F96"/>
    <w:rsid w:val="000258DB"/>
    <w:rsid w:val="00027539"/>
    <w:rsid w:val="000356E6"/>
    <w:rsid w:val="00040589"/>
    <w:rsid w:val="000468D6"/>
    <w:rsid w:val="00046E9F"/>
    <w:rsid w:val="000729AE"/>
    <w:rsid w:val="0007475A"/>
    <w:rsid w:val="00074A66"/>
    <w:rsid w:val="00075E6E"/>
    <w:rsid w:val="00092996"/>
    <w:rsid w:val="0009330C"/>
    <w:rsid w:val="00094DF6"/>
    <w:rsid w:val="000B0244"/>
    <w:rsid w:val="000B427A"/>
    <w:rsid w:val="000B64C5"/>
    <w:rsid w:val="000C626A"/>
    <w:rsid w:val="000D029F"/>
    <w:rsid w:val="000D6D48"/>
    <w:rsid w:val="000E3E48"/>
    <w:rsid w:val="000E6914"/>
    <w:rsid w:val="00104F0D"/>
    <w:rsid w:val="0010528D"/>
    <w:rsid w:val="00110A67"/>
    <w:rsid w:val="00110E6E"/>
    <w:rsid w:val="00120A55"/>
    <w:rsid w:val="00134C75"/>
    <w:rsid w:val="00135190"/>
    <w:rsid w:val="00142DBC"/>
    <w:rsid w:val="001529DF"/>
    <w:rsid w:val="0015701A"/>
    <w:rsid w:val="001730E1"/>
    <w:rsid w:val="0019459E"/>
    <w:rsid w:val="00194FCF"/>
    <w:rsid w:val="001A6422"/>
    <w:rsid w:val="001B4F37"/>
    <w:rsid w:val="001C274C"/>
    <w:rsid w:val="001C6233"/>
    <w:rsid w:val="001F09E0"/>
    <w:rsid w:val="001F47D4"/>
    <w:rsid w:val="002349BD"/>
    <w:rsid w:val="00254C81"/>
    <w:rsid w:val="00256287"/>
    <w:rsid w:val="00270188"/>
    <w:rsid w:val="002809C8"/>
    <w:rsid w:val="002877B9"/>
    <w:rsid w:val="002B06B0"/>
    <w:rsid w:val="002C31AD"/>
    <w:rsid w:val="002C734C"/>
    <w:rsid w:val="002D257F"/>
    <w:rsid w:val="002D4ABD"/>
    <w:rsid w:val="002D697E"/>
    <w:rsid w:val="002D7534"/>
    <w:rsid w:val="002E1A84"/>
    <w:rsid w:val="002F5665"/>
    <w:rsid w:val="0031531E"/>
    <w:rsid w:val="00315625"/>
    <w:rsid w:val="00331251"/>
    <w:rsid w:val="00352358"/>
    <w:rsid w:val="0035699D"/>
    <w:rsid w:val="00364E23"/>
    <w:rsid w:val="00373546"/>
    <w:rsid w:val="00387F92"/>
    <w:rsid w:val="0039516A"/>
    <w:rsid w:val="00396A07"/>
    <w:rsid w:val="003A11AF"/>
    <w:rsid w:val="003B3D13"/>
    <w:rsid w:val="003B40BD"/>
    <w:rsid w:val="003C04A3"/>
    <w:rsid w:val="003C04EB"/>
    <w:rsid w:val="003C1CE7"/>
    <w:rsid w:val="003D3628"/>
    <w:rsid w:val="003E2260"/>
    <w:rsid w:val="00407653"/>
    <w:rsid w:val="004156E3"/>
    <w:rsid w:val="00416900"/>
    <w:rsid w:val="00424576"/>
    <w:rsid w:val="00424D88"/>
    <w:rsid w:val="00440A7B"/>
    <w:rsid w:val="00461CBD"/>
    <w:rsid w:val="00464EEF"/>
    <w:rsid w:val="00483944"/>
    <w:rsid w:val="00484639"/>
    <w:rsid w:val="0048709A"/>
    <w:rsid w:val="004B24AD"/>
    <w:rsid w:val="004B2A6D"/>
    <w:rsid w:val="004B6026"/>
    <w:rsid w:val="004C24B3"/>
    <w:rsid w:val="004C6649"/>
    <w:rsid w:val="004D1F56"/>
    <w:rsid w:val="004E3565"/>
    <w:rsid w:val="004E3E02"/>
    <w:rsid w:val="004E4C21"/>
    <w:rsid w:val="004E6FB1"/>
    <w:rsid w:val="004F2BB8"/>
    <w:rsid w:val="004F7AD9"/>
    <w:rsid w:val="004F7B56"/>
    <w:rsid w:val="00516C9D"/>
    <w:rsid w:val="005214BA"/>
    <w:rsid w:val="00524D1A"/>
    <w:rsid w:val="00526573"/>
    <w:rsid w:val="00530862"/>
    <w:rsid w:val="0056140E"/>
    <w:rsid w:val="0056594A"/>
    <w:rsid w:val="00570B63"/>
    <w:rsid w:val="00574749"/>
    <w:rsid w:val="005831AF"/>
    <w:rsid w:val="0058425B"/>
    <w:rsid w:val="00597A83"/>
    <w:rsid w:val="005B6B47"/>
    <w:rsid w:val="005D282E"/>
    <w:rsid w:val="005D3844"/>
    <w:rsid w:val="005D54FB"/>
    <w:rsid w:val="005F1F9D"/>
    <w:rsid w:val="00605180"/>
    <w:rsid w:val="00607F90"/>
    <w:rsid w:val="0061743A"/>
    <w:rsid w:val="0062132E"/>
    <w:rsid w:val="00650FD5"/>
    <w:rsid w:val="00672C5D"/>
    <w:rsid w:val="00673277"/>
    <w:rsid w:val="006845BE"/>
    <w:rsid w:val="00691221"/>
    <w:rsid w:val="00692639"/>
    <w:rsid w:val="006A755D"/>
    <w:rsid w:val="006B0A5C"/>
    <w:rsid w:val="006D4D06"/>
    <w:rsid w:val="006F39BC"/>
    <w:rsid w:val="006F6854"/>
    <w:rsid w:val="007004AB"/>
    <w:rsid w:val="007074B1"/>
    <w:rsid w:val="007078F9"/>
    <w:rsid w:val="00731E98"/>
    <w:rsid w:val="00732371"/>
    <w:rsid w:val="00746E5E"/>
    <w:rsid w:val="00746F31"/>
    <w:rsid w:val="0078081E"/>
    <w:rsid w:val="007958B6"/>
    <w:rsid w:val="007A1100"/>
    <w:rsid w:val="007B4DA3"/>
    <w:rsid w:val="007B51EA"/>
    <w:rsid w:val="007C38E3"/>
    <w:rsid w:val="007D6615"/>
    <w:rsid w:val="007E1215"/>
    <w:rsid w:val="007E4E32"/>
    <w:rsid w:val="007F5CAB"/>
    <w:rsid w:val="0081324C"/>
    <w:rsid w:val="00815FEB"/>
    <w:rsid w:val="0083028F"/>
    <w:rsid w:val="00837C23"/>
    <w:rsid w:val="0084228D"/>
    <w:rsid w:val="00842AEE"/>
    <w:rsid w:val="00860910"/>
    <w:rsid w:val="00867172"/>
    <w:rsid w:val="00882D4E"/>
    <w:rsid w:val="00897AD7"/>
    <w:rsid w:val="008A633C"/>
    <w:rsid w:val="008B6F3F"/>
    <w:rsid w:val="008D0ED2"/>
    <w:rsid w:val="008F0ECF"/>
    <w:rsid w:val="008F50B6"/>
    <w:rsid w:val="00901100"/>
    <w:rsid w:val="00910388"/>
    <w:rsid w:val="009116ED"/>
    <w:rsid w:val="0091494F"/>
    <w:rsid w:val="00931E67"/>
    <w:rsid w:val="00932696"/>
    <w:rsid w:val="0094184E"/>
    <w:rsid w:val="00947B14"/>
    <w:rsid w:val="009746CE"/>
    <w:rsid w:val="00981F36"/>
    <w:rsid w:val="0098350D"/>
    <w:rsid w:val="0098774E"/>
    <w:rsid w:val="009A2808"/>
    <w:rsid w:val="009B185C"/>
    <w:rsid w:val="009D0B3D"/>
    <w:rsid w:val="009F38A9"/>
    <w:rsid w:val="009F4DD2"/>
    <w:rsid w:val="00A251E5"/>
    <w:rsid w:val="00A35888"/>
    <w:rsid w:val="00A373AE"/>
    <w:rsid w:val="00A54BA4"/>
    <w:rsid w:val="00A60B0B"/>
    <w:rsid w:val="00A67129"/>
    <w:rsid w:val="00A72D9B"/>
    <w:rsid w:val="00A7443E"/>
    <w:rsid w:val="00A770D8"/>
    <w:rsid w:val="00A821D0"/>
    <w:rsid w:val="00A874D1"/>
    <w:rsid w:val="00A901F8"/>
    <w:rsid w:val="00A97C2E"/>
    <w:rsid w:val="00AC5279"/>
    <w:rsid w:val="00AE0CE0"/>
    <w:rsid w:val="00AE1D02"/>
    <w:rsid w:val="00AE33E9"/>
    <w:rsid w:val="00AE6934"/>
    <w:rsid w:val="00AF1E2D"/>
    <w:rsid w:val="00AF2CAC"/>
    <w:rsid w:val="00B10387"/>
    <w:rsid w:val="00B117AA"/>
    <w:rsid w:val="00B1205A"/>
    <w:rsid w:val="00B137AF"/>
    <w:rsid w:val="00B228EF"/>
    <w:rsid w:val="00B311B7"/>
    <w:rsid w:val="00B31ADD"/>
    <w:rsid w:val="00B33AA4"/>
    <w:rsid w:val="00B34120"/>
    <w:rsid w:val="00B3744B"/>
    <w:rsid w:val="00B3794C"/>
    <w:rsid w:val="00B424BB"/>
    <w:rsid w:val="00B546BA"/>
    <w:rsid w:val="00B65BCF"/>
    <w:rsid w:val="00B878D0"/>
    <w:rsid w:val="00B95F52"/>
    <w:rsid w:val="00B966EC"/>
    <w:rsid w:val="00B969FD"/>
    <w:rsid w:val="00BA0AF3"/>
    <w:rsid w:val="00BA21AE"/>
    <w:rsid w:val="00BC2C93"/>
    <w:rsid w:val="00BD16BD"/>
    <w:rsid w:val="00BE0BCA"/>
    <w:rsid w:val="00C0265D"/>
    <w:rsid w:val="00C07095"/>
    <w:rsid w:val="00C11CB4"/>
    <w:rsid w:val="00C11E6D"/>
    <w:rsid w:val="00C16621"/>
    <w:rsid w:val="00C259CC"/>
    <w:rsid w:val="00C347FD"/>
    <w:rsid w:val="00C37BE2"/>
    <w:rsid w:val="00C41EBF"/>
    <w:rsid w:val="00C572E7"/>
    <w:rsid w:val="00C60288"/>
    <w:rsid w:val="00C611DD"/>
    <w:rsid w:val="00C61ED5"/>
    <w:rsid w:val="00C630C6"/>
    <w:rsid w:val="00C65D6B"/>
    <w:rsid w:val="00C70CFB"/>
    <w:rsid w:val="00C71052"/>
    <w:rsid w:val="00C73615"/>
    <w:rsid w:val="00C808A3"/>
    <w:rsid w:val="00C85637"/>
    <w:rsid w:val="00C914DD"/>
    <w:rsid w:val="00C92061"/>
    <w:rsid w:val="00CA080D"/>
    <w:rsid w:val="00CA480D"/>
    <w:rsid w:val="00CC5ED9"/>
    <w:rsid w:val="00CD3586"/>
    <w:rsid w:val="00CD40CB"/>
    <w:rsid w:val="00CD481A"/>
    <w:rsid w:val="00CE1616"/>
    <w:rsid w:val="00CE17B4"/>
    <w:rsid w:val="00CF5A00"/>
    <w:rsid w:val="00D00469"/>
    <w:rsid w:val="00D013A6"/>
    <w:rsid w:val="00D0347A"/>
    <w:rsid w:val="00D06ABB"/>
    <w:rsid w:val="00D31DC7"/>
    <w:rsid w:val="00D32DAC"/>
    <w:rsid w:val="00D35A8B"/>
    <w:rsid w:val="00D45942"/>
    <w:rsid w:val="00D45F89"/>
    <w:rsid w:val="00D5307C"/>
    <w:rsid w:val="00D54FBF"/>
    <w:rsid w:val="00D65A72"/>
    <w:rsid w:val="00D80122"/>
    <w:rsid w:val="00D974A0"/>
    <w:rsid w:val="00DB2DF5"/>
    <w:rsid w:val="00DB2E2C"/>
    <w:rsid w:val="00DB5979"/>
    <w:rsid w:val="00DC5339"/>
    <w:rsid w:val="00DD5212"/>
    <w:rsid w:val="00DE44B0"/>
    <w:rsid w:val="00DE58C4"/>
    <w:rsid w:val="00DF0D19"/>
    <w:rsid w:val="00DF7723"/>
    <w:rsid w:val="00E0088A"/>
    <w:rsid w:val="00E208A6"/>
    <w:rsid w:val="00E30F03"/>
    <w:rsid w:val="00E36E82"/>
    <w:rsid w:val="00E41432"/>
    <w:rsid w:val="00E508A1"/>
    <w:rsid w:val="00E61210"/>
    <w:rsid w:val="00E64EB3"/>
    <w:rsid w:val="00E80620"/>
    <w:rsid w:val="00E960E1"/>
    <w:rsid w:val="00EA64F1"/>
    <w:rsid w:val="00EB3DD5"/>
    <w:rsid w:val="00EC7C2B"/>
    <w:rsid w:val="00EE13F4"/>
    <w:rsid w:val="00EE3EAB"/>
    <w:rsid w:val="00EF2F60"/>
    <w:rsid w:val="00F11D3D"/>
    <w:rsid w:val="00F13A55"/>
    <w:rsid w:val="00F161E3"/>
    <w:rsid w:val="00F22CED"/>
    <w:rsid w:val="00F3764B"/>
    <w:rsid w:val="00F37A6B"/>
    <w:rsid w:val="00F41255"/>
    <w:rsid w:val="00F42B9B"/>
    <w:rsid w:val="00F52524"/>
    <w:rsid w:val="00F553A7"/>
    <w:rsid w:val="00F71A1B"/>
    <w:rsid w:val="00F77746"/>
    <w:rsid w:val="00F808D7"/>
    <w:rsid w:val="00F809E0"/>
    <w:rsid w:val="00F95738"/>
    <w:rsid w:val="00FB085A"/>
    <w:rsid w:val="00FC7580"/>
    <w:rsid w:val="00FC7F30"/>
    <w:rsid w:val="00FD1F65"/>
    <w:rsid w:val="00FE0C6E"/>
    <w:rsid w:val="00FF2477"/>
    <w:rsid w:val="01923454"/>
    <w:rsid w:val="020D020A"/>
    <w:rsid w:val="02572091"/>
    <w:rsid w:val="036A24D7"/>
    <w:rsid w:val="039B5842"/>
    <w:rsid w:val="03C5776D"/>
    <w:rsid w:val="04813ACB"/>
    <w:rsid w:val="04EC582C"/>
    <w:rsid w:val="0571015E"/>
    <w:rsid w:val="05DA5A3E"/>
    <w:rsid w:val="05DF0718"/>
    <w:rsid w:val="074C5327"/>
    <w:rsid w:val="078D1BB1"/>
    <w:rsid w:val="08E6336B"/>
    <w:rsid w:val="08F2308A"/>
    <w:rsid w:val="094D3FED"/>
    <w:rsid w:val="09D81428"/>
    <w:rsid w:val="0A723425"/>
    <w:rsid w:val="0AB4190F"/>
    <w:rsid w:val="0B3D43EC"/>
    <w:rsid w:val="0C1E312B"/>
    <w:rsid w:val="0C692972"/>
    <w:rsid w:val="0CAF0B0A"/>
    <w:rsid w:val="0D07564B"/>
    <w:rsid w:val="0D220DDB"/>
    <w:rsid w:val="0EA40437"/>
    <w:rsid w:val="0F0A1095"/>
    <w:rsid w:val="0F5B1DBC"/>
    <w:rsid w:val="10261C9C"/>
    <w:rsid w:val="116756CF"/>
    <w:rsid w:val="116A2C8E"/>
    <w:rsid w:val="13595FE6"/>
    <w:rsid w:val="14707839"/>
    <w:rsid w:val="152751AF"/>
    <w:rsid w:val="158723E0"/>
    <w:rsid w:val="16C7624B"/>
    <w:rsid w:val="19D35DC9"/>
    <w:rsid w:val="1A52404B"/>
    <w:rsid w:val="1A90492D"/>
    <w:rsid w:val="1A9E024A"/>
    <w:rsid w:val="1ACA29D1"/>
    <w:rsid w:val="1F1A1678"/>
    <w:rsid w:val="1F371190"/>
    <w:rsid w:val="1F5A6F82"/>
    <w:rsid w:val="1FF54705"/>
    <w:rsid w:val="208F2472"/>
    <w:rsid w:val="21C625DA"/>
    <w:rsid w:val="23445D2D"/>
    <w:rsid w:val="23615460"/>
    <w:rsid w:val="23747613"/>
    <w:rsid w:val="247B2597"/>
    <w:rsid w:val="24D02F41"/>
    <w:rsid w:val="24E00DDD"/>
    <w:rsid w:val="25504E0F"/>
    <w:rsid w:val="25A65C60"/>
    <w:rsid w:val="25DA6195"/>
    <w:rsid w:val="26281C07"/>
    <w:rsid w:val="291047C3"/>
    <w:rsid w:val="29330DF7"/>
    <w:rsid w:val="29706C7A"/>
    <w:rsid w:val="29F47ABF"/>
    <w:rsid w:val="2B88597E"/>
    <w:rsid w:val="2BFB59F1"/>
    <w:rsid w:val="2C1F2B9A"/>
    <w:rsid w:val="2C9C7DB8"/>
    <w:rsid w:val="2CB45F3B"/>
    <w:rsid w:val="2D581EC7"/>
    <w:rsid w:val="2D7517EB"/>
    <w:rsid w:val="2E4A07B3"/>
    <w:rsid w:val="316D0094"/>
    <w:rsid w:val="31A94C48"/>
    <w:rsid w:val="32321CD2"/>
    <w:rsid w:val="331C4B44"/>
    <w:rsid w:val="35057B65"/>
    <w:rsid w:val="3538296D"/>
    <w:rsid w:val="354410E5"/>
    <w:rsid w:val="36574234"/>
    <w:rsid w:val="366964B7"/>
    <w:rsid w:val="36B760B0"/>
    <w:rsid w:val="3787127A"/>
    <w:rsid w:val="386B5980"/>
    <w:rsid w:val="38802CC7"/>
    <w:rsid w:val="38883787"/>
    <w:rsid w:val="38BF4F51"/>
    <w:rsid w:val="3A924D4F"/>
    <w:rsid w:val="3AA66558"/>
    <w:rsid w:val="3AEC01E1"/>
    <w:rsid w:val="3B187370"/>
    <w:rsid w:val="3BB5427C"/>
    <w:rsid w:val="3CAC4D06"/>
    <w:rsid w:val="3D45782F"/>
    <w:rsid w:val="3E627991"/>
    <w:rsid w:val="3E665485"/>
    <w:rsid w:val="40220240"/>
    <w:rsid w:val="424312A0"/>
    <w:rsid w:val="439D2AE4"/>
    <w:rsid w:val="43C033A1"/>
    <w:rsid w:val="44043C18"/>
    <w:rsid w:val="444D1816"/>
    <w:rsid w:val="45194719"/>
    <w:rsid w:val="46240B0E"/>
    <w:rsid w:val="46275F5A"/>
    <w:rsid w:val="46352C08"/>
    <w:rsid w:val="47303E04"/>
    <w:rsid w:val="473F2B5F"/>
    <w:rsid w:val="48FF6E54"/>
    <w:rsid w:val="49EC4F85"/>
    <w:rsid w:val="49FF411D"/>
    <w:rsid w:val="4A104B25"/>
    <w:rsid w:val="4A1411BB"/>
    <w:rsid w:val="4B652FF4"/>
    <w:rsid w:val="4BD81567"/>
    <w:rsid w:val="4C651191"/>
    <w:rsid w:val="4CE4330A"/>
    <w:rsid w:val="4D0516B3"/>
    <w:rsid w:val="4DAD16F6"/>
    <w:rsid w:val="4EFB6494"/>
    <w:rsid w:val="4F3A4C55"/>
    <w:rsid w:val="519F6F40"/>
    <w:rsid w:val="52952C1E"/>
    <w:rsid w:val="52CB0876"/>
    <w:rsid w:val="52CF37E5"/>
    <w:rsid w:val="531D4093"/>
    <w:rsid w:val="53B060C3"/>
    <w:rsid w:val="54056B94"/>
    <w:rsid w:val="54341AC5"/>
    <w:rsid w:val="5467502C"/>
    <w:rsid w:val="547C14B4"/>
    <w:rsid w:val="54BF7AD6"/>
    <w:rsid w:val="54D547F1"/>
    <w:rsid w:val="55715686"/>
    <w:rsid w:val="58502056"/>
    <w:rsid w:val="5A3F1405"/>
    <w:rsid w:val="5B9128FE"/>
    <w:rsid w:val="5D8553CC"/>
    <w:rsid w:val="5D8B6232"/>
    <w:rsid w:val="5E2E66F1"/>
    <w:rsid w:val="5F3C4638"/>
    <w:rsid w:val="5F4973EB"/>
    <w:rsid w:val="5FAC07FE"/>
    <w:rsid w:val="5FE61DA6"/>
    <w:rsid w:val="60123788"/>
    <w:rsid w:val="60192C7D"/>
    <w:rsid w:val="602E133A"/>
    <w:rsid w:val="61FE6238"/>
    <w:rsid w:val="622D62B6"/>
    <w:rsid w:val="62601902"/>
    <w:rsid w:val="628570D2"/>
    <w:rsid w:val="62922E73"/>
    <w:rsid w:val="637E0BE3"/>
    <w:rsid w:val="64A52375"/>
    <w:rsid w:val="64CC507D"/>
    <w:rsid w:val="64CF1C0E"/>
    <w:rsid w:val="669B5141"/>
    <w:rsid w:val="66CD6CBE"/>
    <w:rsid w:val="66F219EB"/>
    <w:rsid w:val="679643D0"/>
    <w:rsid w:val="67B646CE"/>
    <w:rsid w:val="68CD380D"/>
    <w:rsid w:val="695A54BE"/>
    <w:rsid w:val="699904FE"/>
    <w:rsid w:val="6B9E631E"/>
    <w:rsid w:val="6BDE0052"/>
    <w:rsid w:val="6D0214C1"/>
    <w:rsid w:val="6D151B81"/>
    <w:rsid w:val="6D3D601E"/>
    <w:rsid w:val="6DD66014"/>
    <w:rsid w:val="6E225874"/>
    <w:rsid w:val="6ED90310"/>
    <w:rsid w:val="6EEA144F"/>
    <w:rsid w:val="6F77477B"/>
    <w:rsid w:val="6FC0247A"/>
    <w:rsid w:val="7124600B"/>
    <w:rsid w:val="729C27FC"/>
    <w:rsid w:val="72F070B8"/>
    <w:rsid w:val="733D5D13"/>
    <w:rsid w:val="73466C80"/>
    <w:rsid w:val="7371348B"/>
    <w:rsid w:val="73CC2195"/>
    <w:rsid w:val="740A1BD8"/>
    <w:rsid w:val="75552541"/>
    <w:rsid w:val="76C30BB1"/>
    <w:rsid w:val="77197F9C"/>
    <w:rsid w:val="772F034E"/>
    <w:rsid w:val="77951FBF"/>
    <w:rsid w:val="78012BF2"/>
    <w:rsid w:val="7A0221CB"/>
    <w:rsid w:val="7A834C72"/>
    <w:rsid w:val="7AF25F69"/>
    <w:rsid w:val="7C764383"/>
    <w:rsid w:val="7C83138E"/>
    <w:rsid w:val="7D927EB8"/>
    <w:rsid w:val="7DED2DE7"/>
    <w:rsid w:val="7E633F42"/>
    <w:rsid w:val="7E8543AF"/>
    <w:rsid w:val="7EB101DC"/>
    <w:rsid w:val="7EE525C1"/>
    <w:rsid w:val="7F4E1330"/>
    <w:rsid w:val="7F917A10"/>
    <w:rsid w:val="7FF624A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4"/>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55"/>
    <w:qFormat/>
    <w:uiPriority w:val="0"/>
    <w:pPr>
      <w:keepNext/>
      <w:keepLines/>
      <w:spacing w:before="260" w:after="260" w:line="415" w:lineRule="auto"/>
      <w:outlineLvl w:val="1"/>
    </w:pPr>
    <w:rPr>
      <w:rFonts w:ascii="Arial" w:hAnsi="Arial" w:eastAsia="黑体"/>
      <w:b/>
      <w:bCs/>
      <w:sz w:val="32"/>
      <w:szCs w:val="32"/>
    </w:rPr>
  </w:style>
  <w:style w:type="character" w:default="1" w:styleId="9">
    <w:name w:val="Default Paragraph Font"/>
    <w:semiHidden/>
    <w:unhideWhenUsed/>
    <w:qFormat/>
    <w:uiPriority w:val="1"/>
  </w:style>
  <w:style w:type="table" w:default="1" w:styleId="13">
    <w:name w:val="Normal Table"/>
    <w:semiHidden/>
    <w:unhideWhenUsed/>
    <w:qFormat/>
    <w:uiPriority w:val="99"/>
    <w:tblPr>
      <w:tblLayout w:type="fixed"/>
      <w:tblCellMar>
        <w:top w:w="0" w:type="dxa"/>
        <w:left w:w="108" w:type="dxa"/>
        <w:bottom w:w="0" w:type="dxa"/>
        <w:right w:w="108" w:type="dxa"/>
      </w:tblCellMar>
    </w:tblPr>
  </w:style>
  <w:style w:type="paragraph" w:styleId="4">
    <w:name w:val="Date"/>
    <w:basedOn w:val="1"/>
    <w:next w:val="1"/>
    <w:link w:val="19"/>
    <w:qFormat/>
    <w:uiPriority w:val="0"/>
    <w:pPr>
      <w:ind w:left="100" w:leftChars="2500"/>
    </w:pPr>
  </w:style>
  <w:style w:type="paragraph" w:styleId="5">
    <w:name w:val="Balloon Text"/>
    <w:basedOn w:val="1"/>
    <w:link w:val="17"/>
    <w:semiHidden/>
    <w:unhideWhenUsed/>
    <w:qFormat/>
    <w:uiPriority w:val="99"/>
    <w:rPr>
      <w:sz w:val="18"/>
      <w:szCs w:val="18"/>
    </w:rPr>
  </w:style>
  <w:style w:type="paragraph" w:styleId="6">
    <w:name w:val="footer"/>
    <w:basedOn w:val="1"/>
    <w:link w:val="16"/>
    <w:unhideWhenUsed/>
    <w:qFormat/>
    <w:uiPriority w:val="0"/>
    <w:pPr>
      <w:tabs>
        <w:tab w:val="center" w:pos="4153"/>
        <w:tab w:val="right" w:pos="8306"/>
      </w:tabs>
      <w:snapToGrid w:val="0"/>
      <w:jc w:val="left"/>
    </w:pPr>
    <w:rPr>
      <w:sz w:val="18"/>
      <w:szCs w:val="18"/>
    </w:rPr>
  </w:style>
  <w:style w:type="paragraph" w:styleId="7">
    <w:name w:val="header"/>
    <w:basedOn w:val="1"/>
    <w:link w:val="15"/>
    <w:unhideWhenUsed/>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10">
    <w:name w:val="Strong"/>
    <w:basedOn w:val="9"/>
    <w:qFormat/>
    <w:uiPriority w:val="0"/>
    <w:rPr>
      <w:b/>
    </w:rPr>
  </w:style>
  <w:style w:type="character" w:styleId="11">
    <w:name w:val="FollowedHyperlink"/>
    <w:basedOn w:val="9"/>
    <w:unhideWhenUsed/>
    <w:qFormat/>
    <w:uiPriority w:val="99"/>
    <w:rPr>
      <w:color w:val="800080"/>
      <w:u w:val="single"/>
    </w:rPr>
  </w:style>
  <w:style w:type="character" w:styleId="12">
    <w:name w:val="Hyperlink"/>
    <w:basedOn w:val="9"/>
    <w:unhideWhenUsed/>
    <w:qFormat/>
    <w:uiPriority w:val="99"/>
    <w:rPr>
      <w:color w:val="0000FF"/>
      <w:u w:val="single"/>
    </w:rPr>
  </w:style>
  <w:style w:type="table" w:styleId="14">
    <w:name w:val="Table Grid"/>
    <w:basedOn w:val="1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5">
    <w:name w:val="页眉 Char"/>
    <w:basedOn w:val="9"/>
    <w:link w:val="7"/>
    <w:qFormat/>
    <w:uiPriority w:val="0"/>
    <w:rPr>
      <w:sz w:val="18"/>
      <w:szCs w:val="18"/>
    </w:rPr>
  </w:style>
  <w:style w:type="character" w:customStyle="1" w:styleId="16">
    <w:name w:val="页脚 Char"/>
    <w:basedOn w:val="9"/>
    <w:link w:val="6"/>
    <w:qFormat/>
    <w:uiPriority w:val="0"/>
    <w:rPr>
      <w:sz w:val="18"/>
      <w:szCs w:val="18"/>
    </w:rPr>
  </w:style>
  <w:style w:type="character" w:customStyle="1" w:styleId="17">
    <w:name w:val="批注框文本 Char"/>
    <w:basedOn w:val="9"/>
    <w:link w:val="5"/>
    <w:semiHidden/>
    <w:qFormat/>
    <w:uiPriority w:val="99"/>
    <w:rPr>
      <w:kern w:val="2"/>
      <w:sz w:val="18"/>
      <w:szCs w:val="18"/>
    </w:rPr>
  </w:style>
  <w:style w:type="paragraph" w:customStyle="1" w:styleId="18">
    <w:name w:val="普通(网站)1"/>
    <w:basedOn w:val="1"/>
    <w:qFormat/>
    <w:uiPriority w:val="0"/>
    <w:pPr>
      <w:widowControl/>
      <w:spacing w:beforeAutospacing="1" w:afterAutospacing="1"/>
      <w:jc w:val="left"/>
    </w:pPr>
    <w:rPr>
      <w:rFonts w:ascii="宋体" w:hAnsi="宋体" w:cs="宋体"/>
      <w:kern w:val="0"/>
      <w:sz w:val="24"/>
    </w:rPr>
  </w:style>
  <w:style w:type="character" w:customStyle="1" w:styleId="19">
    <w:name w:val="日期 Char"/>
    <w:basedOn w:val="9"/>
    <w:link w:val="4"/>
    <w:qFormat/>
    <w:uiPriority w:val="0"/>
    <w:rPr>
      <w:kern w:val="2"/>
      <w:sz w:val="21"/>
      <w:szCs w:val="24"/>
    </w:rPr>
  </w:style>
  <w:style w:type="paragraph" w:customStyle="1" w:styleId="20">
    <w:name w:val="font5"/>
    <w:basedOn w:val="1"/>
    <w:qFormat/>
    <w:uiPriority w:val="0"/>
    <w:pPr>
      <w:widowControl/>
      <w:spacing w:before="100" w:beforeAutospacing="1" w:after="100" w:afterAutospacing="1"/>
      <w:jc w:val="left"/>
    </w:pPr>
    <w:rPr>
      <w:rFonts w:ascii="Tahoma" w:hAnsi="Tahoma" w:cs="Tahoma"/>
      <w:color w:val="000000"/>
      <w:kern w:val="0"/>
      <w:sz w:val="18"/>
      <w:szCs w:val="18"/>
    </w:rPr>
  </w:style>
  <w:style w:type="paragraph" w:customStyle="1" w:styleId="21">
    <w:name w:val="xl63"/>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22">
    <w:name w:val="xl64"/>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23">
    <w:name w:val="xl65"/>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24">
    <w:name w:val="xl66"/>
    <w:basedOn w:val="1"/>
    <w:qFormat/>
    <w:uiPriority w:val="0"/>
    <w:pPr>
      <w:widowControl/>
      <w:pBdr>
        <w:bottom w:val="single" w:color="000000" w:sz="8" w:space="0"/>
        <w:right w:val="single" w:color="000000" w:sz="8" w:space="0"/>
      </w:pBdr>
      <w:spacing w:before="100" w:beforeAutospacing="1" w:after="100" w:afterAutospacing="1"/>
      <w:jc w:val="center"/>
      <w:textAlignment w:val="center"/>
    </w:pPr>
    <w:rPr>
      <w:rFonts w:ascii="宋体" w:hAnsi="宋体" w:cs="宋体"/>
      <w:kern w:val="0"/>
      <w:sz w:val="18"/>
      <w:szCs w:val="18"/>
    </w:rPr>
  </w:style>
  <w:style w:type="paragraph" w:customStyle="1" w:styleId="25">
    <w:name w:val="xl67"/>
    <w:basedOn w:val="1"/>
    <w:qFormat/>
    <w:uiPriority w:val="0"/>
    <w:pPr>
      <w:widowControl/>
      <w:pBdr>
        <w:bottom w:val="single" w:color="000000" w:sz="8" w:space="0"/>
      </w:pBdr>
      <w:spacing w:before="100" w:beforeAutospacing="1" w:after="100" w:afterAutospacing="1"/>
      <w:jc w:val="center"/>
      <w:textAlignment w:val="center"/>
    </w:pPr>
    <w:rPr>
      <w:rFonts w:ascii="宋体" w:hAnsi="宋体" w:cs="宋体"/>
      <w:kern w:val="0"/>
      <w:sz w:val="18"/>
      <w:szCs w:val="18"/>
    </w:rPr>
  </w:style>
  <w:style w:type="paragraph" w:customStyle="1" w:styleId="26">
    <w:name w:val="xl68"/>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textAlignment w:val="center"/>
    </w:pPr>
    <w:rPr>
      <w:rFonts w:ascii="宋体" w:hAnsi="宋体" w:cs="宋体"/>
      <w:kern w:val="0"/>
      <w:sz w:val="18"/>
      <w:szCs w:val="18"/>
    </w:rPr>
  </w:style>
  <w:style w:type="paragraph" w:customStyle="1" w:styleId="27">
    <w:name w:val="xl69"/>
    <w:basedOn w:val="1"/>
    <w:qFormat/>
    <w:uiPriority w:val="0"/>
    <w:pPr>
      <w:widowControl/>
      <w:pBdr>
        <w:bottom w:val="single" w:color="auto" w:sz="8" w:space="0"/>
        <w:right w:val="single" w:color="auto" w:sz="8"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28">
    <w:name w:val="xl70"/>
    <w:basedOn w:val="1"/>
    <w:qFormat/>
    <w:uiPriority w:val="0"/>
    <w:pPr>
      <w:widowControl/>
      <w:pBdr>
        <w:right w:val="single" w:color="000000" w:sz="8" w:space="0"/>
      </w:pBdr>
      <w:spacing w:before="100" w:beforeAutospacing="1" w:after="100" w:afterAutospacing="1"/>
      <w:jc w:val="center"/>
      <w:textAlignment w:val="center"/>
    </w:pPr>
    <w:rPr>
      <w:rFonts w:ascii="宋体" w:hAnsi="宋体" w:cs="宋体"/>
      <w:kern w:val="0"/>
      <w:sz w:val="18"/>
      <w:szCs w:val="18"/>
    </w:rPr>
  </w:style>
  <w:style w:type="paragraph" w:customStyle="1" w:styleId="29">
    <w:name w:val="xl71"/>
    <w:basedOn w:val="1"/>
    <w:qFormat/>
    <w:uiPriority w:val="0"/>
    <w:pPr>
      <w:widowControl/>
      <w:pBdr>
        <w:right w:val="single" w:color="000000" w:sz="8"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30">
    <w:name w:val="xl72"/>
    <w:basedOn w:val="1"/>
    <w:qFormat/>
    <w:uiPriority w:val="0"/>
    <w:pPr>
      <w:widowControl/>
      <w:pBdr>
        <w:bottom w:val="single" w:color="000000" w:sz="8" w:space="0"/>
        <w:right w:val="single" w:color="000000" w:sz="8"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31">
    <w:name w:val="xl73"/>
    <w:basedOn w:val="1"/>
    <w:qFormat/>
    <w:uiPriority w:val="0"/>
    <w:pPr>
      <w:widowControl/>
      <w:pBdr>
        <w:bottom w:val="single" w:color="000000" w:sz="8"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32">
    <w:name w:val="xl74"/>
    <w:basedOn w:val="1"/>
    <w:qFormat/>
    <w:uiPriority w:val="0"/>
    <w:pPr>
      <w:widowControl/>
      <w:pBdr>
        <w:right w:val="single" w:color="000000" w:sz="8" w:space="0"/>
      </w:pBdr>
      <w:spacing w:before="100" w:beforeAutospacing="1" w:after="100" w:afterAutospacing="1"/>
      <w:jc w:val="center"/>
      <w:textAlignment w:val="center"/>
    </w:pPr>
    <w:rPr>
      <w:rFonts w:ascii="宋体" w:hAnsi="宋体" w:cs="宋体"/>
      <w:kern w:val="0"/>
      <w:sz w:val="24"/>
    </w:rPr>
  </w:style>
  <w:style w:type="paragraph" w:customStyle="1" w:styleId="33">
    <w:name w:val="xl75"/>
    <w:basedOn w:val="1"/>
    <w:qFormat/>
    <w:uiPriority w:val="0"/>
    <w:pPr>
      <w:widowControl/>
      <w:pBdr>
        <w:bottom w:val="single" w:color="000000" w:sz="8" w:space="0"/>
        <w:right w:val="single" w:color="000000" w:sz="8" w:space="0"/>
      </w:pBdr>
      <w:spacing w:before="100" w:beforeAutospacing="1" w:after="100" w:afterAutospacing="1"/>
      <w:jc w:val="center"/>
    </w:pPr>
    <w:rPr>
      <w:rFonts w:ascii="宋体" w:hAnsi="宋体" w:cs="宋体"/>
      <w:kern w:val="0"/>
      <w:sz w:val="18"/>
      <w:szCs w:val="18"/>
    </w:rPr>
  </w:style>
  <w:style w:type="paragraph" w:customStyle="1" w:styleId="34">
    <w:name w:val="xl76"/>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宋体" w:hAnsi="宋体" w:cs="宋体"/>
      <w:kern w:val="0"/>
      <w:sz w:val="18"/>
      <w:szCs w:val="18"/>
    </w:rPr>
  </w:style>
  <w:style w:type="paragraph" w:customStyle="1" w:styleId="35">
    <w:name w:val="xl77"/>
    <w:basedOn w:val="1"/>
    <w:qFormat/>
    <w:uiPriority w:val="0"/>
    <w:pPr>
      <w:widowControl/>
      <w:pBdr>
        <w:bottom w:val="single" w:color="auto" w:sz="8" w:space="0"/>
        <w:right w:val="single" w:color="auto" w:sz="8" w:space="0"/>
      </w:pBdr>
      <w:spacing w:before="100" w:beforeAutospacing="1" w:after="100" w:afterAutospacing="1"/>
      <w:jc w:val="center"/>
      <w:textAlignment w:val="center"/>
    </w:pPr>
    <w:rPr>
      <w:rFonts w:ascii="宋体" w:hAnsi="宋体" w:cs="宋体"/>
      <w:kern w:val="0"/>
      <w:sz w:val="18"/>
      <w:szCs w:val="18"/>
    </w:rPr>
  </w:style>
  <w:style w:type="paragraph" w:customStyle="1" w:styleId="36">
    <w:name w:val="xl78"/>
    <w:basedOn w:val="1"/>
    <w:qFormat/>
    <w:uiPriority w:val="0"/>
    <w:pPr>
      <w:widowControl/>
      <w:pBdr>
        <w:bottom w:val="single" w:color="000000" w:sz="8" w:space="0"/>
        <w:right w:val="single" w:color="000000" w:sz="8" w:space="0"/>
      </w:pBdr>
      <w:spacing w:before="100" w:beforeAutospacing="1" w:after="100" w:afterAutospacing="1"/>
      <w:jc w:val="center"/>
    </w:pPr>
    <w:rPr>
      <w:rFonts w:ascii="宋体" w:hAnsi="宋体" w:cs="宋体"/>
      <w:color w:val="000000"/>
      <w:kern w:val="0"/>
      <w:sz w:val="18"/>
      <w:szCs w:val="18"/>
    </w:rPr>
  </w:style>
  <w:style w:type="paragraph" w:customStyle="1" w:styleId="37">
    <w:name w:val="xl79"/>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宋体" w:hAnsi="宋体" w:cs="宋体"/>
      <w:color w:val="000000"/>
      <w:kern w:val="0"/>
      <w:sz w:val="18"/>
      <w:szCs w:val="18"/>
    </w:rPr>
  </w:style>
  <w:style w:type="paragraph" w:customStyle="1" w:styleId="38">
    <w:name w:val="xl80"/>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39">
    <w:name w:val="xl81"/>
    <w:basedOn w:val="1"/>
    <w:qFormat/>
    <w:uiPriority w:val="0"/>
    <w:pPr>
      <w:widowControl/>
      <w:pBdr>
        <w:top w:val="single" w:color="000000" w:sz="8" w:space="0"/>
        <w:left w:val="single" w:color="000000" w:sz="8" w:space="0"/>
        <w:right w:val="single" w:color="000000" w:sz="8"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40">
    <w:name w:val="xl82"/>
    <w:basedOn w:val="1"/>
    <w:qFormat/>
    <w:uiPriority w:val="0"/>
    <w:pPr>
      <w:widowControl/>
      <w:pBdr>
        <w:left w:val="single" w:color="000000" w:sz="8" w:space="0"/>
        <w:bottom w:val="single" w:color="000000" w:sz="8" w:space="0"/>
        <w:right w:val="single" w:color="000000" w:sz="8"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41">
    <w:name w:val="xl83"/>
    <w:basedOn w:val="1"/>
    <w:qFormat/>
    <w:uiPriority w:val="0"/>
    <w:pPr>
      <w:widowControl/>
      <w:pBdr>
        <w:top w:val="single" w:color="000000" w:sz="8" w:space="0"/>
        <w:left w:val="single" w:color="000000" w:sz="8" w:space="0"/>
        <w:right w:val="single" w:color="auto" w:sz="8"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42">
    <w:name w:val="xl84"/>
    <w:basedOn w:val="1"/>
    <w:qFormat/>
    <w:uiPriority w:val="0"/>
    <w:pPr>
      <w:widowControl/>
      <w:pBdr>
        <w:left w:val="single" w:color="000000" w:sz="8" w:space="0"/>
        <w:bottom w:val="single" w:color="000000" w:sz="8" w:space="0"/>
        <w:right w:val="single" w:color="auto" w:sz="8"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43">
    <w:name w:val="xl85"/>
    <w:basedOn w:val="1"/>
    <w:qFormat/>
    <w:uiPriority w:val="0"/>
    <w:pPr>
      <w:widowControl/>
      <w:pBdr>
        <w:top w:val="single" w:color="000000" w:sz="8" w:space="0"/>
        <w:left w:val="single" w:color="auto" w:sz="8" w:space="0"/>
        <w:right w:val="single" w:color="000000" w:sz="8"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44">
    <w:name w:val="xl86"/>
    <w:basedOn w:val="1"/>
    <w:qFormat/>
    <w:uiPriority w:val="0"/>
    <w:pPr>
      <w:widowControl/>
      <w:pBdr>
        <w:left w:val="single" w:color="auto" w:sz="8" w:space="0"/>
        <w:bottom w:val="single" w:color="000000" w:sz="8" w:space="0"/>
        <w:right w:val="single" w:color="000000" w:sz="8"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45">
    <w:name w:val="xl87"/>
    <w:basedOn w:val="1"/>
    <w:qFormat/>
    <w:uiPriority w:val="0"/>
    <w:pPr>
      <w:widowControl/>
      <w:pBdr>
        <w:top w:val="single" w:color="auto" w:sz="8" w:space="0"/>
        <w:left w:val="single" w:color="auto" w:sz="8" w:space="0"/>
        <w:right w:val="single" w:color="auto" w:sz="8" w:space="0"/>
      </w:pBdr>
      <w:spacing w:before="100" w:beforeAutospacing="1" w:after="100" w:afterAutospacing="1"/>
      <w:textAlignment w:val="center"/>
    </w:pPr>
    <w:rPr>
      <w:rFonts w:ascii="宋体" w:hAnsi="宋体" w:cs="宋体"/>
      <w:color w:val="000000"/>
      <w:kern w:val="0"/>
      <w:sz w:val="18"/>
      <w:szCs w:val="18"/>
    </w:rPr>
  </w:style>
  <w:style w:type="paragraph" w:customStyle="1" w:styleId="46">
    <w:name w:val="xl88"/>
    <w:basedOn w:val="1"/>
    <w:qFormat/>
    <w:uiPriority w:val="0"/>
    <w:pPr>
      <w:widowControl/>
      <w:pBdr>
        <w:left w:val="single" w:color="auto" w:sz="8" w:space="0"/>
        <w:bottom w:val="single" w:color="auto" w:sz="8" w:space="0"/>
        <w:right w:val="single" w:color="auto" w:sz="8" w:space="0"/>
      </w:pBdr>
      <w:spacing w:before="100" w:beforeAutospacing="1" w:after="100" w:afterAutospacing="1"/>
      <w:textAlignment w:val="center"/>
    </w:pPr>
    <w:rPr>
      <w:rFonts w:ascii="宋体" w:hAnsi="宋体" w:cs="宋体"/>
      <w:color w:val="000000"/>
      <w:kern w:val="0"/>
      <w:sz w:val="18"/>
      <w:szCs w:val="18"/>
    </w:rPr>
  </w:style>
  <w:style w:type="paragraph" w:customStyle="1" w:styleId="47">
    <w:name w:val="xl89"/>
    <w:basedOn w:val="1"/>
    <w:qFormat/>
    <w:uiPriority w:val="0"/>
    <w:pPr>
      <w:widowControl/>
      <w:pBdr>
        <w:top w:val="single" w:color="000000" w:sz="8" w:space="0"/>
        <w:left w:val="single" w:color="auto" w:sz="8" w:space="0"/>
        <w:right w:val="single" w:color="000000" w:sz="8" w:space="0"/>
      </w:pBdr>
      <w:spacing w:before="100" w:beforeAutospacing="1" w:after="100" w:afterAutospacing="1"/>
      <w:jc w:val="center"/>
      <w:textAlignment w:val="center"/>
    </w:pPr>
    <w:rPr>
      <w:rFonts w:ascii="宋体" w:hAnsi="宋体" w:cs="宋体"/>
      <w:kern w:val="0"/>
      <w:sz w:val="18"/>
      <w:szCs w:val="18"/>
    </w:rPr>
  </w:style>
  <w:style w:type="paragraph" w:customStyle="1" w:styleId="48">
    <w:name w:val="xl90"/>
    <w:basedOn w:val="1"/>
    <w:qFormat/>
    <w:uiPriority w:val="0"/>
    <w:pPr>
      <w:widowControl/>
      <w:pBdr>
        <w:left w:val="single" w:color="auto" w:sz="8" w:space="0"/>
        <w:bottom w:val="single" w:color="000000" w:sz="8" w:space="0"/>
        <w:right w:val="single" w:color="000000" w:sz="8" w:space="0"/>
      </w:pBdr>
      <w:spacing w:before="100" w:beforeAutospacing="1" w:after="100" w:afterAutospacing="1"/>
      <w:jc w:val="center"/>
      <w:textAlignment w:val="center"/>
    </w:pPr>
    <w:rPr>
      <w:rFonts w:ascii="宋体" w:hAnsi="宋体" w:cs="宋体"/>
      <w:kern w:val="0"/>
      <w:sz w:val="18"/>
      <w:szCs w:val="18"/>
    </w:rPr>
  </w:style>
  <w:style w:type="paragraph" w:customStyle="1" w:styleId="49">
    <w:name w:val="xl91"/>
    <w:basedOn w:val="1"/>
    <w:qFormat/>
    <w:uiPriority w:val="0"/>
    <w:pPr>
      <w:widowControl/>
      <w:pBdr>
        <w:top w:val="single" w:color="000000" w:sz="8" w:space="0"/>
        <w:left w:val="single" w:color="000000" w:sz="8" w:space="0"/>
        <w:right w:val="single" w:color="000000" w:sz="8" w:space="0"/>
      </w:pBdr>
      <w:spacing w:before="100" w:beforeAutospacing="1" w:after="100" w:afterAutospacing="1"/>
      <w:jc w:val="center"/>
      <w:textAlignment w:val="center"/>
    </w:pPr>
    <w:rPr>
      <w:rFonts w:ascii="宋体" w:hAnsi="宋体" w:cs="宋体"/>
      <w:kern w:val="0"/>
      <w:sz w:val="18"/>
      <w:szCs w:val="18"/>
    </w:rPr>
  </w:style>
  <w:style w:type="paragraph" w:customStyle="1" w:styleId="50">
    <w:name w:val="xl92"/>
    <w:basedOn w:val="1"/>
    <w:qFormat/>
    <w:uiPriority w:val="0"/>
    <w:pPr>
      <w:widowControl/>
      <w:pBdr>
        <w:left w:val="single" w:color="000000" w:sz="8" w:space="0"/>
        <w:bottom w:val="single" w:color="000000" w:sz="8" w:space="0"/>
        <w:right w:val="single" w:color="000000" w:sz="8" w:space="0"/>
      </w:pBdr>
      <w:spacing w:before="100" w:beforeAutospacing="1" w:after="100" w:afterAutospacing="1"/>
      <w:jc w:val="center"/>
      <w:textAlignment w:val="center"/>
    </w:pPr>
    <w:rPr>
      <w:rFonts w:ascii="宋体" w:hAnsi="宋体" w:cs="宋体"/>
      <w:kern w:val="0"/>
      <w:sz w:val="18"/>
      <w:szCs w:val="18"/>
    </w:rPr>
  </w:style>
  <w:style w:type="paragraph" w:customStyle="1" w:styleId="51">
    <w:name w:val="xl93"/>
    <w:basedOn w:val="1"/>
    <w:qFormat/>
    <w:uiPriority w:val="0"/>
    <w:pPr>
      <w:widowControl/>
      <w:pBdr>
        <w:top w:val="single" w:color="000000" w:sz="8" w:space="0"/>
        <w:left w:val="single" w:color="000000" w:sz="8" w:space="0"/>
        <w:right w:val="single" w:color="auto" w:sz="8" w:space="0"/>
      </w:pBdr>
      <w:spacing w:before="100" w:beforeAutospacing="1" w:after="100" w:afterAutospacing="1"/>
      <w:jc w:val="center"/>
      <w:textAlignment w:val="center"/>
    </w:pPr>
    <w:rPr>
      <w:rFonts w:ascii="宋体" w:hAnsi="宋体" w:cs="宋体"/>
      <w:kern w:val="0"/>
      <w:sz w:val="18"/>
      <w:szCs w:val="18"/>
    </w:rPr>
  </w:style>
  <w:style w:type="paragraph" w:customStyle="1" w:styleId="52">
    <w:name w:val="xl94"/>
    <w:basedOn w:val="1"/>
    <w:qFormat/>
    <w:uiPriority w:val="0"/>
    <w:pPr>
      <w:widowControl/>
      <w:pBdr>
        <w:left w:val="single" w:color="000000" w:sz="8" w:space="0"/>
        <w:bottom w:val="single" w:color="000000" w:sz="8" w:space="0"/>
        <w:right w:val="single" w:color="auto" w:sz="8" w:space="0"/>
      </w:pBdr>
      <w:spacing w:before="100" w:beforeAutospacing="1" w:after="100" w:afterAutospacing="1"/>
      <w:jc w:val="center"/>
      <w:textAlignment w:val="center"/>
    </w:pPr>
    <w:rPr>
      <w:rFonts w:ascii="宋体" w:hAnsi="宋体" w:cs="宋体"/>
      <w:kern w:val="0"/>
      <w:sz w:val="18"/>
      <w:szCs w:val="18"/>
    </w:rPr>
  </w:style>
  <w:style w:type="paragraph" w:customStyle="1" w:styleId="53">
    <w:name w:val="xl95"/>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textAlignment w:val="center"/>
    </w:pPr>
    <w:rPr>
      <w:rFonts w:ascii="宋体" w:hAnsi="宋体" w:cs="宋体"/>
      <w:kern w:val="0"/>
      <w:sz w:val="18"/>
      <w:szCs w:val="18"/>
    </w:rPr>
  </w:style>
  <w:style w:type="character" w:customStyle="1" w:styleId="54">
    <w:name w:val="标题 1 Char"/>
    <w:basedOn w:val="9"/>
    <w:link w:val="2"/>
    <w:qFormat/>
    <w:uiPriority w:val="0"/>
    <w:rPr>
      <w:b/>
      <w:bCs/>
      <w:kern w:val="44"/>
      <w:sz w:val="44"/>
      <w:szCs w:val="44"/>
    </w:rPr>
  </w:style>
  <w:style w:type="character" w:customStyle="1" w:styleId="55">
    <w:name w:val="标题 2 Char"/>
    <w:basedOn w:val="9"/>
    <w:link w:val="3"/>
    <w:qFormat/>
    <w:uiPriority w:val="0"/>
    <w:rPr>
      <w:rFonts w:ascii="Arial" w:hAnsi="Arial" w:eastAsia="黑体"/>
      <w:b/>
      <w:bCs/>
      <w:kern w:val="2"/>
      <w:sz w:val="32"/>
      <w:szCs w:val="32"/>
    </w:rPr>
  </w:style>
  <w:style w:type="paragraph" w:customStyle="1" w:styleId="56">
    <w:name w:val="样式1"/>
    <w:basedOn w:val="2"/>
    <w:qFormat/>
    <w:uiPriority w:val="0"/>
    <w:pPr>
      <w:keepNext w:val="0"/>
      <w:keepLines w:val="0"/>
      <w:adjustRightInd w:val="0"/>
      <w:snapToGrid w:val="0"/>
      <w:spacing w:before="0" w:after="0" w:line="360" w:lineRule="auto"/>
    </w:pPr>
    <w:rPr>
      <w:rFonts w:ascii="宋体" w:hAnsi="宋体"/>
      <w:color w:val="000000"/>
      <w:kern w:val="0"/>
      <w:sz w:val="24"/>
      <w:szCs w:val="24"/>
    </w:rPr>
  </w:style>
  <w:style w:type="paragraph" w:styleId="57">
    <w:name w:val="List Paragraph"/>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425826B-5D4B-4992-AB28-99455A1F8653}">
  <ds:schemaRefs/>
</ds:datastoreItem>
</file>

<file path=docProps/app.xml><?xml version="1.0" encoding="utf-8"?>
<Properties xmlns="http://schemas.openxmlformats.org/officeDocument/2006/extended-properties" xmlns:vt="http://schemas.openxmlformats.org/officeDocument/2006/docPropsVTypes">
  <Template>Normal.dotm</Template>
  <Company>123xz.org</Company>
  <Pages>6</Pages>
  <Words>3085</Words>
  <Characters>3275</Characters>
  <Lines>25</Lines>
  <Paragraphs>7</Paragraphs>
  <TotalTime>35</TotalTime>
  <ScaleCrop>false</ScaleCrop>
  <LinksUpToDate>false</LinksUpToDate>
  <CharactersWithSpaces>3281</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2025-08-11T01:41:00Z</dcterms:created>
  <dc:creator>lenovo</dc:creator>
  <cp:lastModifiedBy>Administrator</cp:lastModifiedBy>
  <cp:lastPrinted>2025-08-12T02:45:00Z</cp:lastPrinted>
  <dcterms:modified xsi:type="dcterms:W3CDTF">2026-09-17T08:09:41Z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ICV">
    <vt:lpwstr>10A0BC30F01D4785B6C9747DA7E5152C_13</vt:lpwstr>
  </property>
  <property fmtid="{D5CDD505-2E9C-101B-9397-08002B2CF9AE}" pid="4" name="KSOTemplateDocerSaveRecord">
    <vt:lpwstr>eyJoZGlkIjoiMTkyMWVjOWM5YjAxODA0ZGNkYmVlYTExYTQ2ZjA4YmQiLCJ1c2VySWQiOiI2MjgyODA2ODIifQ==</vt:lpwstr>
  </property>
</Properties>
</file>