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大庆市第五医院无线遥测心电监护服务采购项目招标公告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2026002</w:t>
      </w:r>
    </w:p>
    <w:p>
      <w:pPr>
        <w:widowControl/>
        <w:spacing w:line="480" w:lineRule="exact"/>
        <w:jc w:val="left"/>
        <w:rPr>
          <w:rFonts w:asciiTheme="minorEastAsia" w:hAnsiTheme="minorEastAsia" w:eastAsiaTheme="minorEastAsia"/>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大庆市第五医院无线遥测心电监护服务采购项目</w:t>
      </w:r>
    </w:p>
    <w:p>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cs="宋体" w:asciiTheme="minorEastAsia" w:hAnsiTheme="minorEastAsia" w:eastAsiaTheme="minorEastAsia"/>
          <w:bCs/>
          <w:kern w:val="0"/>
          <w:sz w:val="24"/>
          <w:lang w:eastAsia="zh-CN"/>
        </w:rPr>
        <w:t>。</w:t>
      </w:r>
      <w:r>
        <w:rPr>
          <w:rFonts w:hint="eastAsia" w:cs="宋体" w:asciiTheme="minorEastAsia" w:hAnsiTheme="minorEastAsia" w:eastAsiaTheme="minorEastAsia"/>
          <w:bCs/>
          <w:kern w:val="0"/>
          <w:sz w:val="24"/>
        </w:rPr>
        <w:t>合同期限为三年，合同一年一签。</w:t>
      </w:r>
    </w:p>
    <w:p>
      <w:pPr>
        <w:pStyle w:val="8"/>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8"/>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pPr>
        <w:pStyle w:val="8"/>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1</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14</w:t>
      </w:r>
      <w:r>
        <w:rPr>
          <w:rFonts w:hint="eastAsia" w:asciiTheme="minorEastAsia" w:hAnsiTheme="minorEastAsia" w:eastAsiaTheme="minorEastAsia"/>
          <w:bCs/>
        </w:rPr>
        <w:t xml:space="preserve"> 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1</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16</w:t>
      </w:r>
      <w:r>
        <w:rPr>
          <w:rFonts w:hint="eastAsia" w:asciiTheme="minorEastAsia" w:hAnsiTheme="minorEastAsia" w:eastAsiaTheme="minorEastAsia"/>
          <w:bCs/>
        </w:rPr>
        <w:t xml:space="preserve"> 日止</w:t>
      </w:r>
    </w:p>
    <w:p>
      <w:pPr>
        <w:pStyle w:val="8"/>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8"/>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pStyle w:val="8"/>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投标人于202</w:t>
      </w:r>
      <w:r>
        <w:rPr>
          <w:rFonts w:hint="eastAsia" w:asciiTheme="minorEastAsia" w:hAnsiTheme="minorEastAsia" w:eastAsiaTheme="minorEastAsia"/>
          <w:lang w:val="en-US" w:eastAsia="zh-CN"/>
        </w:rPr>
        <w:t>6</w:t>
      </w:r>
      <w:r>
        <w:rPr>
          <w:rFonts w:hint="eastAsia" w:asciiTheme="minorEastAsia" w:hAnsiTheme="minorEastAsia" w:eastAsiaTheme="minorEastAsia"/>
        </w:rPr>
        <w:t xml:space="preserve">年 </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 月 </w:t>
      </w:r>
      <w:r>
        <w:rPr>
          <w:rFonts w:hint="eastAsia" w:asciiTheme="minorEastAsia" w:hAnsiTheme="minorEastAsia" w:eastAsiaTheme="minorEastAsia"/>
          <w:lang w:val="en-US" w:eastAsia="zh-CN"/>
        </w:rPr>
        <w:t>16</w:t>
      </w:r>
      <w:r>
        <w:rPr>
          <w:rFonts w:hint="eastAsia" w:asciiTheme="minorEastAsia" w:hAnsiTheme="minorEastAsia" w:eastAsiaTheme="minorEastAsia"/>
        </w:rPr>
        <w:t xml:space="preserve"> 日</w:t>
      </w:r>
      <w:r>
        <w:rPr>
          <w:rFonts w:hint="eastAsia" w:asciiTheme="minorEastAsia" w:hAnsiTheme="minorEastAsia" w:eastAsiaTheme="minorEastAsia"/>
          <w:lang w:val="en-US" w:eastAsia="zh-CN"/>
        </w:rPr>
        <w:t>16</w:t>
      </w:r>
      <w:r>
        <w:rPr>
          <w:rFonts w:hint="eastAsia" w:asciiTheme="minorEastAsia" w:hAnsiTheme="minorEastAsia" w:eastAsiaTheme="minorEastAsia"/>
        </w:rPr>
        <w:t>时前到大庆市第五医院二部机关楼一楼</w:t>
      </w:r>
      <w:r>
        <w:rPr>
          <w:rFonts w:hint="eastAsia" w:asciiTheme="minorEastAsia" w:hAnsiTheme="minorEastAsia" w:eastAsiaTheme="minorEastAsia"/>
          <w:lang w:val="en-US" w:eastAsia="zh-CN"/>
        </w:rPr>
        <w:t>111室</w:t>
      </w:r>
      <w:r>
        <w:rPr>
          <w:rFonts w:hint="eastAsia" w:asciiTheme="minorEastAsia" w:hAnsiTheme="minorEastAsia" w:eastAsiaTheme="minorEastAsia"/>
        </w:rPr>
        <w:t>递交以下材料：</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电话：0459-6705858</w:t>
      </w:r>
      <w:bookmarkStart w:id="3" w:name="_GoBack"/>
      <w:bookmarkEnd w:id="3"/>
    </w:p>
    <w:p>
      <w:pPr>
        <w:pStyle w:val="8"/>
        <w:spacing w:before="0" w:beforeAutospacing="0" w:after="0" w:afterAutospacing="0" w:line="480" w:lineRule="exact"/>
        <w:rPr>
          <w:rFonts w:asciiTheme="minorEastAsia" w:hAnsiTheme="minorEastAsia" w:eastAsiaTheme="minorEastAsia"/>
          <w:b/>
        </w:rPr>
      </w:pP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1"/>
        <w:tblW w:w="10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76"/>
        <w:gridCol w:w="842"/>
        <w:gridCol w:w="910"/>
        <w:gridCol w:w="788"/>
        <w:gridCol w:w="913"/>
        <w:gridCol w:w="758"/>
        <w:gridCol w:w="1164"/>
        <w:gridCol w:w="1084"/>
        <w:gridCol w:w="97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76"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42"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91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788"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913"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58"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64"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84"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975"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1065" w:type="dxa"/>
            <w:vAlign w:val="center"/>
          </w:tcPr>
          <w:p>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720" w:type="dxa"/>
            <w:shd w:val="clear" w:color="auto" w:fill="auto"/>
            <w:vAlign w:val="center"/>
          </w:tcPr>
          <w:p>
            <w:pPr>
              <w:widowControl/>
              <w:spacing w:line="360" w:lineRule="auto"/>
              <w:jc w:val="center"/>
              <w:textAlignment w:val="center"/>
              <w:rPr>
                <w:rFonts w:ascii="宋体"/>
                <w:color w:val="000000"/>
                <w:szCs w:val="21"/>
              </w:rPr>
            </w:pPr>
            <w:r>
              <w:rPr>
                <w:rFonts w:ascii="宋体" w:hAnsi="宋体" w:cs="宋体"/>
                <w:color w:val="000000"/>
                <w:kern w:val="0"/>
                <w:szCs w:val="21"/>
              </w:rPr>
              <w:t>1</w:t>
            </w:r>
          </w:p>
        </w:tc>
        <w:tc>
          <w:tcPr>
            <w:tcW w:w="1476" w:type="dxa"/>
            <w:shd w:val="clear" w:color="auto" w:fill="auto"/>
            <w:vAlign w:val="center"/>
          </w:tcPr>
          <w:p>
            <w:pPr>
              <w:widowControl/>
              <w:spacing w:line="260" w:lineRule="exact"/>
              <w:jc w:val="center"/>
              <w:textAlignment w:val="center"/>
              <w:rPr>
                <w:rFonts w:ascii="宋体"/>
                <w:color w:val="000000"/>
                <w:szCs w:val="21"/>
              </w:rPr>
            </w:pPr>
            <w:r>
              <w:rPr>
                <w:rFonts w:hint="eastAsia" w:ascii="宋体"/>
                <w:color w:val="000000"/>
                <w:szCs w:val="21"/>
              </w:rPr>
              <w:t>无线遥测心电监护服务</w:t>
            </w:r>
          </w:p>
        </w:tc>
        <w:tc>
          <w:tcPr>
            <w:tcW w:w="842" w:type="dxa"/>
            <w:vAlign w:val="center"/>
          </w:tcPr>
          <w:p>
            <w:pPr>
              <w:jc w:val="center"/>
              <w:rPr>
                <w:b/>
                <w:bCs/>
                <w:szCs w:val="21"/>
              </w:rPr>
            </w:pPr>
            <w:r>
              <w:rPr>
                <w:rFonts w:hint="eastAsia"/>
                <w:b/>
                <w:bCs/>
                <w:szCs w:val="21"/>
              </w:rPr>
              <w:t>-</w:t>
            </w:r>
          </w:p>
        </w:tc>
        <w:tc>
          <w:tcPr>
            <w:tcW w:w="910" w:type="dxa"/>
            <w:shd w:val="clear" w:color="auto" w:fill="auto"/>
            <w:vAlign w:val="center"/>
          </w:tcPr>
          <w:p>
            <w:pPr>
              <w:jc w:val="center"/>
              <w:rPr>
                <w:rFonts w:ascii="宋体" w:hAnsi="宋体" w:cs="宋体"/>
                <w:bCs/>
                <w:szCs w:val="21"/>
              </w:rPr>
            </w:pPr>
            <w:r>
              <w:rPr>
                <w:rFonts w:hint="eastAsia" w:ascii="宋体" w:hAnsi="宋体" w:cs="宋体"/>
                <w:bCs/>
                <w:szCs w:val="21"/>
              </w:rPr>
              <w:t>-</w:t>
            </w:r>
          </w:p>
        </w:tc>
        <w:tc>
          <w:tcPr>
            <w:tcW w:w="788" w:type="dxa"/>
            <w:shd w:val="clear" w:color="auto" w:fill="auto"/>
            <w:vAlign w:val="center"/>
          </w:tcPr>
          <w:p>
            <w:pPr>
              <w:widowControl/>
              <w:tabs>
                <w:tab w:val="left" w:pos="438"/>
              </w:tabs>
              <w:spacing w:line="360" w:lineRule="auto"/>
              <w:jc w:val="center"/>
              <w:textAlignment w:val="center"/>
              <w:rPr>
                <w:rFonts w:ascii="宋体"/>
                <w:color w:val="000000"/>
                <w:szCs w:val="21"/>
              </w:rPr>
            </w:pPr>
            <w:r>
              <w:rPr>
                <w:rFonts w:hint="eastAsia" w:ascii="宋体"/>
                <w:color w:val="000000"/>
                <w:szCs w:val="21"/>
              </w:rPr>
              <w:t>-</w:t>
            </w:r>
          </w:p>
        </w:tc>
        <w:tc>
          <w:tcPr>
            <w:tcW w:w="913" w:type="dxa"/>
            <w:vAlign w:val="center"/>
          </w:tcPr>
          <w:p>
            <w:pPr>
              <w:widowControl/>
              <w:spacing w:line="360" w:lineRule="auto"/>
              <w:jc w:val="center"/>
              <w:textAlignment w:val="center"/>
              <w:rPr>
                <w:rFonts w:ascii="宋体"/>
                <w:color w:val="000000"/>
                <w:szCs w:val="21"/>
              </w:rPr>
            </w:pPr>
            <w:r>
              <w:rPr>
                <w:rFonts w:hint="eastAsia" w:ascii="宋体"/>
                <w:color w:val="000000"/>
                <w:szCs w:val="21"/>
              </w:rPr>
              <w:t>见附表1</w:t>
            </w:r>
          </w:p>
        </w:tc>
        <w:tc>
          <w:tcPr>
            <w:tcW w:w="758"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164" w:type="dxa"/>
            <w:vAlign w:val="center"/>
          </w:tcPr>
          <w:p>
            <w:pPr>
              <w:widowControl/>
              <w:jc w:val="center"/>
              <w:textAlignment w:val="center"/>
              <w:rPr>
                <w:rFonts w:ascii="宋体" w:hAnsi="宋体" w:cs="宋体"/>
                <w:bCs/>
                <w:kern w:val="0"/>
                <w:szCs w:val="21"/>
              </w:rPr>
            </w:pPr>
            <w:r>
              <w:rPr>
                <w:rFonts w:hint="eastAsia" w:ascii="宋体" w:hAnsi="宋体" w:cs="宋体"/>
                <w:bCs/>
                <w:kern w:val="0"/>
                <w:szCs w:val="21"/>
              </w:rPr>
              <w:t>8.7元/小时</w:t>
            </w:r>
          </w:p>
        </w:tc>
        <w:tc>
          <w:tcPr>
            <w:tcW w:w="1084"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975"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065" w:type="dxa"/>
            <w:vAlign w:val="center"/>
          </w:tcPr>
          <w:p>
            <w:pPr>
              <w:jc w:val="center"/>
              <w:rPr>
                <w:rFonts w:ascii="宋体" w:hAnsi="宋体" w:cs="宋体"/>
                <w:kern w:val="0"/>
                <w:szCs w:val="21"/>
              </w:rPr>
            </w:pPr>
          </w:p>
        </w:tc>
      </w:tr>
    </w:tbl>
    <w:p>
      <w:pPr>
        <w:pStyle w:val="8"/>
        <w:spacing w:before="0" w:beforeAutospacing="0" w:after="0" w:afterAutospacing="0" w:line="480" w:lineRule="exact"/>
        <w:ind w:left="-850" w:leftChars="-405" w:right="-758" w:rightChars="-361"/>
        <w:rPr>
          <w:rFonts w:asciiTheme="minorEastAsia" w:hAnsiTheme="minorEastAsia" w:eastAsiaTheme="minorEastAsia"/>
          <w:sz w:val="21"/>
          <w:szCs w:val="21"/>
        </w:rPr>
      </w:pPr>
    </w:p>
    <w:p>
      <w:pPr>
        <w:pStyle w:val="8"/>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11"/>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w:t>
      </w:r>
      <w:r>
        <w:rPr>
          <w:rFonts w:hint="eastAsia" w:asciiTheme="minorEastAsia" w:hAnsiTheme="minorEastAsia" w:eastAsiaTheme="minorEastAsia"/>
          <w:sz w:val="24"/>
          <w:lang w:val="en-US" w:eastAsia="zh-CN"/>
        </w:rPr>
        <w:t>2026</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 xml:space="preserve"> 月 </w:t>
      </w:r>
      <w:r>
        <w:rPr>
          <w:rFonts w:hint="eastAsia" w:asciiTheme="minorEastAsia" w:hAnsiTheme="minorEastAsia" w:eastAsiaTheme="minorEastAsia"/>
          <w:sz w:val="24"/>
          <w:lang w:val="en-US" w:eastAsia="zh-CN"/>
        </w:rPr>
        <w:t>20</w:t>
      </w:r>
      <w:r>
        <w:rPr>
          <w:rFonts w:hint="eastAsia" w:asciiTheme="minorEastAsia" w:hAnsiTheme="minorEastAsia" w:eastAsiaTheme="minorEastAsia"/>
          <w:sz w:val="24"/>
        </w:rPr>
        <w:t xml:space="preserve">日 </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时(如有变化另行通知)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eastAsiaTheme="minorEastAsia"/>
        </w:rPr>
        <w:t>。</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十六、接到中标通知后，三日内到医院招标采购办公室签订合同。</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hint="eastAsia" w:asciiTheme="minorEastAsia" w:hAnsiTheme="minorEastAsia" w:eastAsiaTheme="minorEastAsia"/>
          <w:b/>
          <w:sz w:val="36"/>
          <w:szCs w:val="36"/>
        </w:rPr>
      </w:pPr>
    </w:p>
    <w:p>
      <w:pPr>
        <w:pStyle w:val="8"/>
        <w:spacing w:before="0" w:beforeAutospacing="0" w:after="0" w:afterAutospacing="0" w:line="440" w:lineRule="exact"/>
        <w:rPr>
          <w:rFonts w:hint="eastAsia" w:asciiTheme="minorEastAsia" w:hAnsiTheme="minorEastAsia" w:eastAsiaTheme="minorEastAsia"/>
          <w:b/>
          <w:sz w:val="36"/>
          <w:szCs w:val="36"/>
        </w:rPr>
      </w:pPr>
    </w:p>
    <w:p>
      <w:pPr>
        <w:pStyle w:val="8"/>
        <w:spacing w:before="0" w:beforeAutospacing="0" w:after="0" w:afterAutospacing="0" w:line="440" w:lineRule="exact"/>
        <w:rPr>
          <w:rFonts w:hint="eastAsia"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r>
        <w:rPr>
          <w:rFonts w:hint="eastAsia" w:asciiTheme="minorEastAsia" w:hAnsiTheme="minorEastAsia" w:eastAsiaTheme="minorEastAsia"/>
          <w:b/>
          <w:sz w:val="36"/>
          <w:szCs w:val="36"/>
        </w:rPr>
        <w:t>附表1：</w:t>
      </w:r>
    </w:p>
    <w:p>
      <w:pPr>
        <w:pStyle w:val="8"/>
        <w:spacing w:before="0" w:beforeAutospacing="0" w:after="0" w:afterAutospacing="0" w:line="440" w:lineRule="exact"/>
        <w:rPr>
          <w:rFonts w:asciiTheme="minorEastAsia" w:hAnsiTheme="minorEastAsia" w:eastAsiaTheme="minorEastAsia"/>
          <w:b/>
          <w:sz w:val="36"/>
          <w:szCs w:val="36"/>
        </w:rPr>
      </w:pPr>
    </w:p>
    <w:p>
      <w:pPr>
        <w:pStyle w:val="20"/>
        <w:jc w:val="center"/>
        <w:outlineLvl w:val="0"/>
        <w:rPr>
          <w:rFonts w:ascii="宋体" w:hAnsi="宋体" w:cs="宋体"/>
          <w:b/>
          <w:bCs/>
          <w:sz w:val="44"/>
          <w:szCs w:val="44"/>
        </w:rPr>
      </w:pPr>
      <w:bookmarkStart w:id="0" w:name="_Toc27785"/>
      <w:bookmarkStart w:id="1" w:name="_Toc18236"/>
      <w:bookmarkStart w:id="2" w:name="_Toc16425"/>
      <w:r>
        <w:rPr>
          <w:rFonts w:hint="eastAsia" w:ascii="宋体" w:hAnsi="宋体" w:cs="宋体"/>
          <w:b/>
          <w:color w:val="000000"/>
          <w:kern w:val="0"/>
          <w:sz w:val="44"/>
          <w:szCs w:val="44"/>
        </w:rPr>
        <w:t>长程无线遥测心电监护服务项目</w:t>
      </w:r>
      <w:r>
        <w:rPr>
          <w:rFonts w:hint="eastAsia" w:ascii="宋体" w:hAnsi="宋体" w:cs="宋体"/>
          <w:b/>
          <w:bCs/>
          <w:sz w:val="44"/>
          <w:szCs w:val="44"/>
        </w:rPr>
        <w:t>技术需求</w:t>
      </w:r>
    </w:p>
    <w:p>
      <w:pPr>
        <w:pStyle w:val="20"/>
        <w:outlineLvl w:val="0"/>
        <w:rPr>
          <w:rFonts w:ascii="仿宋" w:hAnsi="仿宋" w:eastAsia="仿宋" w:cs="仿宋"/>
          <w:sz w:val="32"/>
          <w:szCs w:val="32"/>
        </w:rPr>
      </w:pPr>
    </w:p>
    <w:bookmarkEnd w:id="0"/>
    <w:bookmarkEnd w:id="1"/>
    <w:bookmarkEnd w:id="2"/>
    <w:p>
      <w:pPr>
        <w:spacing w:before="100" w:beforeAutospacing="1"/>
        <w:jc w:val="left"/>
        <w:rPr>
          <w:rFonts w:ascii="仿宋" w:hAnsi="仿宋" w:eastAsia="仿宋" w:cs="仿宋"/>
          <w:sz w:val="32"/>
          <w:szCs w:val="32"/>
        </w:rPr>
      </w:pPr>
      <w:r>
        <w:rPr>
          <w:rFonts w:hint="eastAsia" w:ascii="仿宋" w:hAnsi="仿宋" w:eastAsia="仿宋" w:cs="仿宋"/>
          <w:b/>
          <w:bCs/>
          <w:sz w:val="32"/>
          <w:szCs w:val="32"/>
        </w:rPr>
        <w:t>一、服务需求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1．免费提供使用无线遥测心电监护服务过程中涉及的具备独立注册证的软件、硬件及传感器服务，包括：心电遥测中央监护软件、多导联远程动态心电记录仪、心电工作站软件、穿戴式心电传感器。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2．无线遥测心电监护服务期内所有涉及的心电硬件、软件的免费维修、维护、更换等服务，根据医院患者应用情况保证充足的服务设备及监测服务，若不能满足扣罚当年服务费用的30%。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3．免费提供使用无线遥测心电监护服务过程中涉及的符合使用要求的电脑、显示器、传输手机等。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4．无线遥测心电监护服务过程中，中央集成显示幕上患者阳性事件报警服务，包含并不限于窦性心动过缓、窦性心动过速、心房扑动、心房颤动、心室扑动、长R-R间期等，参数个性化设置服务。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5．无线遥测心电监护服务的患者心电数据管理服务，包括心电图全程回溯、患者端实时波形显示。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6．根据医院的要求开通相应数量的端口与手机小程序使用服务，方便医生随时登陆系统查看患者实时心电数据。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7．提供完善的网络安全服务，保障患者心电数据安全，包括：网络安全管理服务、数据备份与灾备服务等。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8．售后服务，如系统发生故障，服务商在接收到医院报修电话后立即远程响应，并于12小时内进行维修，超过24小时不能恢复正常使用的，需提供备用系统或设备以保障医院正常运行使用。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9．免费的物流服务，包括服务期内的硬件的维护、维修，耗材的邮寄等过程设计的物流运输服务等。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免费培训服务，包括医院内的使用的医护人员的整个操作过程，包括协助搭建长城无线遥测动态心电监护平台、软件的操作使用、硬件的佩戴、贴片的佩戴等，并建立微信群，专门的客服人员一对一的服务与问题解答</w:t>
      </w:r>
    </w:p>
    <w:p>
      <w:pPr>
        <w:spacing w:before="100" w:beforeAutospacing="1"/>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二、无线遥测心电监护服务依托于满足要求的相关硬件及软件系统相关的技术参数要求(*条款必须满足，非*条款3条以上（含3条）不满足的投标无效)：</w:t>
      </w:r>
    </w:p>
    <w:p>
      <w:pPr>
        <w:ind w:left="-425" w:firstLine="643" w:firstLineChars="200"/>
        <w:jc w:val="left"/>
        <w:rPr>
          <w:rFonts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sz w:val="32"/>
          <w:szCs w:val="32"/>
        </w:rPr>
        <w:t>1.心电遥测中央监护软件系统应具有独立的医疗器械注册证。（须提供有效的医疗器械注册证）。遥测系统需支持识别远程动态心电记录仪采集的心电数据，且远程动态心电记录仪具备独立医疗器械注册证（须提供有效的医疗器械注册证）。</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2.遥测系统需支持带有心电图分析报告功能的心电工作站软件联合使用。</w:t>
      </w:r>
    </w:p>
    <w:p>
      <w:pPr>
        <w:ind w:left="-425" w:firstLine="643" w:firstLineChars="200"/>
        <w:jc w:val="left"/>
        <w:rPr>
          <w:rFonts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sz w:val="32"/>
          <w:szCs w:val="32"/>
        </w:rPr>
        <w:t>3.遥测心电监护系统全程回溯系统-心电图分析系统应具备医疗器械注册证，且“适用范围”中需明确注明可用于医疗机构诊断（须提供有效的医疗器械注册证）</w:t>
      </w:r>
    </w:p>
    <w:p>
      <w:pPr>
        <w:ind w:left="-425" w:firstLine="643" w:firstLineChars="200"/>
        <w:jc w:val="left"/>
        <w:rPr>
          <w:rFonts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sz w:val="32"/>
          <w:szCs w:val="32"/>
        </w:rPr>
        <w:t>4.心电遥测监护过程中所应用的贴片穿戴式心电传感器需具备独立医疗器械注册证（须提供有效的医疗器械注册证）。</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5.遥测系统支持多个通道同时显示多个患者数据，实时显示使用者的基本信息、实时心电图波形、实时心率等数据。</w:t>
      </w:r>
    </w:p>
    <w:p>
      <w:pPr>
        <w:ind w:left="-425" w:firstLine="643" w:firstLineChars="200"/>
        <w:jc w:val="left"/>
        <w:rPr>
          <w:rFonts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sz w:val="32"/>
          <w:szCs w:val="32"/>
        </w:rPr>
        <w:t>6.遥测心电监护系统全程回溯系统-心电图分析系统应具有信息系统安全等级保护三级或以上认证（须提供公安部门认证证明材料复印件）</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7.遥测系统界面消息提示需具备：传输端设备网络连接断开；采集端设备网络连接断开；当前客户端互联网连接断开；传输设备低电量提示、采集设备低电量提示；心律异常事件提示等。</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8.遥测系统具备心律异常事件提示功能，可通过软件界面文字和提示音进行提醒，软件应至少可以自动识别以下异常事件类型并进行自动提醒：房速、房颤、室速、室颤、长间歇。</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9.遥测系统不限制同时登录中央监护软件的终端数量，可以在病房护士站显示屏、医生办公室办公电脑、医生手机、平板电脑等多个终端同时登录。</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10.遥测系统支持无导线贴片式的多导联心电图数据接入和显示</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11.遥测系统软件功能包含：用户登录模块、通道信息/实时心电图显示模块、心电图片段打印模块、系统设置模块。</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12.遥测系统持续运行时间：系统可以连续运行24个小时不发生系统死机、系统失效等异常。</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13.遥测系统数据从采集端通过无线互联网数据传输方式传输至中央服务器端。</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14.遥测系统支持一个显示屏内最多24个独立通道显示，可通过多屏幕配置支持无上限扩展。</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15.遥测系统支持手机小程序端版本，医生可通过小程序和授权账号登录心电遥测中央监护软件，实时查看数据。</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16.遥测系统没有登录终端的地域限制，只要可以运行网页浏览器的终端设备，在接入网络的情况下，可以随时随地通过授权账号登录后查看数据。</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17.遥测系统不同终端软件可进行个性化软件设置的调整，不影响其他监护终端软件的默认值。</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18.遥测系统支持对单个患者通道的参数调整：报警心率范围设置、报警长间歇时长设置、心电图显示增益设置。</w:t>
      </w:r>
    </w:p>
    <w:p>
      <w:pPr>
        <w:ind w:left="-425" w:firstLine="640" w:firstLineChars="200"/>
        <w:jc w:val="left"/>
        <w:rPr>
          <w:rFonts w:ascii="仿宋" w:hAnsi="仿宋" w:eastAsia="仿宋" w:cs="仿宋"/>
          <w:sz w:val="32"/>
          <w:szCs w:val="32"/>
        </w:rPr>
      </w:pPr>
      <w:r>
        <w:rPr>
          <w:rFonts w:hint="eastAsia" w:ascii="仿宋" w:hAnsi="仿宋" w:eastAsia="仿宋" w:cs="仿宋"/>
          <w:sz w:val="32"/>
          <w:szCs w:val="32"/>
        </w:rPr>
        <w:t>19.遥测系统支持不同科室、不同分院区、医联体/医共体单位、分级诊疗范围医疗机构在内的灵活配置，支持在中心院区集中监护室拼接大屏幕上显示所有院区所有科室或区域各级医疗机构合并统计的病房的实时数据。</w:t>
      </w:r>
    </w:p>
    <w:p>
      <w:pPr>
        <w:pStyle w:val="8"/>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0" w:h="17900"/>
      <w:pgMar w:top="1680" w:right="960" w:bottom="1200" w:left="960" w:header="840" w:footer="6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6576A"/>
    <w:rsid w:val="000729AE"/>
    <w:rsid w:val="0007475A"/>
    <w:rsid w:val="00074A66"/>
    <w:rsid w:val="00084370"/>
    <w:rsid w:val="00092996"/>
    <w:rsid w:val="00094DF6"/>
    <w:rsid w:val="000A0F23"/>
    <w:rsid w:val="000A2C2D"/>
    <w:rsid w:val="000B0244"/>
    <w:rsid w:val="000B64C5"/>
    <w:rsid w:val="000C626A"/>
    <w:rsid w:val="000D6074"/>
    <w:rsid w:val="000E6914"/>
    <w:rsid w:val="000F6336"/>
    <w:rsid w:val="000F77E5"/>
    <w:rsid w:val="00104F0D"/>
    <w:rsid w:val="0010528D"/>
    <w:rsid w:val="00120A55"/>
    <w:rsid w:val="00135190"/>
    <w:rsid w:val="001730E1"/>
    <w:rsid w:val="00180F82"/>
    <w:rsid w:val="001910E6"/>
    <w:rsid w:val="0019459E"/>
    <w:rsid w:val="00194FCF"/>
    <w:rsid w:val="00195E43"/>
    <w:rsid w:val="001A3707"/>
    <w:rsid w:val="001B4F37"/>
    <w:rsid w:val="001C274C"/>
    <w:rsid w:val="001C32C4"/>
    <w:rsid w:val="001C390B"/>
    <w:rsid w:val="001C6233"/>
    <w:rsid w:val="001C66D8"/>
    <w:rsid w:val="001E7F7D"/>
    <w:rsid w:val="001F09E0"/>
    <w:rsid w:val="001F3678"/>
    <w:rsid w:val="001F47D4"/>
    <w:rsid w:val="002167B0"/>
    <w:rsid w:val="00234918"/>
    <w:rsid w:val="002349BD"/>
    <w:rsid w:val="00236C7C"/>
    <w:rsid w:val="00254C81"/>
    <w:rsid w:val="00256287"/>
    <w:rsid w:val="00270188"/>
    <w:rsid w:val="00271446"/>
    <w:rsid w:val="002809C8"/>
    <w:rsid w:val="002877B9"/>
    <w:rsid w:val="002B06B0"/>
    <w:rsid w:val="002C03B5"/>
    <w:rsid w:val="002C31AD"/>
    <w:rsid w:val="002C734C"/>
    <w:rsid w:val="002D255F"/>
    <w:rsid w:val="002D257F"/>
    <w:rsid w:val="002D3CA2"/>
    <w:rsid w:val="002D4ABD"/>
    <w:rsid w:val="002E1A84"/>
    <w:rsid w:val="002F5665"/>
    <w:rsid w:val="002F5C0E"/>
    <w:rsid w:val="003000E8"/>
    <w:rsid w:val="003054A4"/>
    <w:rsid w:val="0031531E"/>
    <w:rsid w:val="00315625"/>
    <w:rsid w:val="00324C7D"/>
    <w:rsid w:val="00331251"/>
    <w:rsid w:val="003459A4"/>
    <w:rsid w:val="0035077E"/>
    <w:rsid w:val="00352358"/>
    <w:rsid w:val="00364E23"/>
    <w:rsid w:val="00373546"/>
    <w:rsid w:val="003754A6"/>
    <w:rsid w:val="003805B7"/>
    <w:rsid w:val="00385206"/>
    <w:rsid w:val="00387F92"/>
    <w:rsid w:val="003928BD"/>
    <w:rsid w:val="0039516A"/>
    <w:rsid w:val="003A11AF"/>
    <w:rsid w:val="003A3633"/>
    <w:rsid w:val="003A4B05"/>
    <w:rsid w:val="003B3D13"/>
    <w:rsid w:val="003B40BD"/>
    <w:rsid w:val="003B61E9"/>
    <w:rsid w:val="003C04A3"/>
    <w:rsid w:val="003C04EB"/>
    <w:rsid w:val="003D78E6"/>
    <w:rsid w:val="00407DC5"/>
    <w:rsid w:val="004156E3"/>
    <w:rsid w:val="00424576"/>
    <w:rsid w:val="00424D88"/>
    <w:rsid w:val="00440A7B"/>
    <w:rsid w:val="00452542"/>
    <w:rsid w:val="00453086"/>
    <w:rsid w:val="00461CBD"/>
    <w:rsid w:val="00484639"/>
    <w:rsid w:val="004B24AD"/>
    <w:rsid w:val="004B2A6D"/>
    <w:rsid w:val="004B6026"/>
    <w:rsid w:val="004C24B3"/>
    <w:rsid w:val="004D1F56"/>
    <w:rsid w:val="004D35A5"/>
    <w:rsid w:val="004E3565"/>
    <w:rsid w:val="004E3E02"/>
    <w:rsid w:val="004E4C21"/>
    <w:rsid w:val="004E7970"/>
    <w:rsid w:val="004F2BB8"/>
    <w:rsid w:val="004F7AD9"/>
    <w:rsid w:val="004F7B56"/>
    <w:rsid w:val="00516C9D"/>
    <w:rsid w:val="005214BA"/>
    <w:rsid w:val="00524D1A"/>
    <w:rsid w:val="0055666D"/>
    <w:rsid w:val="0056140E"/>
    <w:rsid w:val="00564B42"/>
    <w:rsid w:val="0056594A"/>
    <w:rsid w:val="00574749"/>
    <w:rsid w:val="005831AF"/>
    <w:rsid w:val="0058425B"/>
    <w:rsid w:val="00597A83"/>
    <w:rsid w:val="00597FA8"/>
    <w:rsid w:val="005D54FB"/>
    <w:rsid w:val="00612503"/>
    <w:rsid w:val="00647DEE"/>
    <w:rsid w:val="00650FD5"/>
    <w:rsid w:val="00672C5D"/>
    <w:rsid w:val="00673277"/>
    <w:rsid w:val="0068258B"/>
    <w:rsid w:val="006845BE"/>
    <w:rsid w:val="00690B60"/>
    <w:rsid w:val="00692639"/>
    <w:rsid w:val="006A3768"/>
    <w:rsid w:val="006A755D"/>
    <w:rsid w:val="006D4D06"/>
    <w:rsid w:val="006E0332"/>
    <w:rsid w:val="006F6854"/>
    <w:rsid w:val="007004AB"/>
    <w:rsid w:val="00701769"/>
    <w:rsid w:val="00701E5E"/>
    <w:rsid w:val="007078F9"/>
    <w:rsid w:val="00732371"/>
    <w:rsid w:val="00737CD5"/>
    <w:rsid w:val="00746E5E"/>
    <w:rsid w:val="0078081E"/>
    <w:rsid w:val="00786511"/>
    <w:rsid w:val="007A1100"/>
    <w:rsid w:val="007A2E22"/>
    <w:rsid w:val="007A3B10"/>
    <w:rsid w:val="007B4DA3"/>
    <w:rsid w:val="007B51EA"/>
    <w:rsid w:val="007C38E3"/>
    <w:rsid w:val="007D5809"/>
    <w:rsid w:val="007D6615"/>
    <w:rsid w:val="007E1215"/>
    <w:rsid w:val="007F5CAB"/>
    <w:rsid w:val="0080619F"/>
    <w:rsid w:val="00815FEB"/>
    <w:rsid w:val="00817D65"/>
    <w:rsid w:val="00821304"/>
    <w:rsid w:val="0083028F"/>
    <w:rsid w:val="008311CD"/>
    <w:rsid w:val="00837C23"/>
    <w:rsid w:val="00860910"/>
    <w:rsid w:val="0086320E"/>
    <w:rsid w:val="00866956"/>
    <w:rsid w:val="00867172"/>
    <w:rsid w:val="00882D4E"/>
    <w:rsid w:val="008A633C"/>
    <w:rsid w:val="008B6F3F"/>
    <w:rsid w:val="008C4236"/>
    <w:rsid w:val="008C4D1A"/>
    <w:rsid w:val="008D0ED2"/>
    <w:rsid w:val="008D6A83"/>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B185C"/>
    <w:rsid w:val="009B350A"/>
    <w:rsid w:val="009C1E54"/>
    <w:rsid w:val="009F0050"/>
    <w:rsid w:val="009F38A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7C2E"/>
    <w:rsid w:val="00AA095B"/>
    <w:rsid w:val="00AC5279"/>
    <w:rsid w:val="00AE0CE0"/>
    <w:rsid w:val="00AE1D02"/>
    <w:rsid w:val="00AE25C2"/>
    <w:rsid w:val="00AE33E9"/>
    <w:rsid w:val="00AE45DA"/>
    <w:rsid w:val="00AF2CAC"/>
    <w:rsid w:val="00B10387"/>
    <w:rsid w:val="00B117AA"/>
    <w:rsid w:val="00B137AF"/>
    <w:rsid w:val="00B228EF"/>
    <w:rsid w:val="00B234D8"/>
    <w:rsid w:val="00B311B7"/>
    <w:rsid w:val="00B31ADD"/>
    <w:rsid w:val="00B34120"/>
    <w:rsid w:val="00B3744B"/>
    <w:rsid w:val="00B3794C"/>
    <w:rsid w:val="00B546BA"/>
    <w:rsid w:val="00B65BCF"/>
    <w:rsid w:val="00B802B4"/>
    <w:rsid w:val="00B878D0"/>
    <w:rsid w:val="00B95F52"/>
    <w:rsid w:val="00B966EC"/>
    <w:rsid w:val="00BA0AF3"/>
    <w:rsid w:val="00BC2C93"/>
    <w:rsid w:val="00BD6EBD"/>
    <w:rsid w:val="00BE0BCA"/>
    <w:rsid w:val="00C07095"/>
    <w:rsid w:val="00C0789D"/>
    <w:rsid w:val="00C11CB4"/>
    <w:rsid w:val="00C130B2"/>
    <w:rsid w:val="00C16621"/>
    <w:rsid w:val="00C216A6"/>
    <w:rsid w:val="00C259CC"/>
    <w:rsid w:val="00C37BE2"/>
    <w:rsid w:val="00C41EBF"/>
    <w:rsid w:val="00C572E7"/>
    <w:rsid w:val="00C60288"/>
    <w:rsid w:val="00C611DD"/>
    <w:rsid w:val="00C61ED5"/>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31DC7"/>
    <w:rsid w:val="00D32DAC"/>
    <w:rsid w:val="00D35A8B"/>
    <w:rsid w:val="00D4153B"/>
    <w:rsid w:val="00D45942"/>
    <w:rsid w:val="00D45F89"/>
    <w:rsid w:val="00D5307C"/>
    <w:rsid w:val="00D54FBF"/>
    <w:rsid w:val="00D63BB2"/>
    <w:rsid w:val="00D80122"/>
    <w:rsid w:val="00DB2E2C"/>
    <w:rsid w:val="00DB3248"/>
    <w:rsid w:val="00DB5979"/>
    <w:rsid w:val="00DD5212"/>
    <w:rsid w:val="00DE44B0"/>
    <w:rsid w:val="00DF0D19"/>
    <w:rsid w:val="00E0088A"/>
    <w:rsid w:val="00E04A4C"/>
    <w:rsid w:val="00E10760"/>
    <w:rsid w:val="00E177A0"/>
    <w:rsid w:val="00E208A6"/>
    <w:rsid w:val="00E36E82"/>
    <w:rsid w:val="00E61210"/>
    <w:rsid w:val="00E64EB3"/>
    <w:rsid w:val="00E80620"/>
    <w:rsid w:val="00EA4BAB"/>
    <w:rsid w:val="00EB3DD5"/>
    <w:rsid w:val="00EC7C2B"/>
    <w:rsid w:val="00EE13F4"/>
    <w:rsid w:val="00EF2400"/>
    <w:rsid w:val="00EF2F60"/>
    <w:rsid w:val="00F11D3D"/>
    <w:rsid w:val="00F13A55"/>
    <w:rsid w:val="00F161E3"/>
    <w:rsid w:val="00F22CED"/>
    <w:rsid w:val="00F33634"/>
    <w:rsid w:val="00F347AF"/>
    <w:rsid w:val="00F37A6B"/>
    <w:rsid w:val="00F41255"/>
    <w:rsid w:val="00F52524"/>
    <w:rsid w:val="00F553A7"/>
    <w:rsid w:val="00F66FB6"/>
    <w:rsid w:val="00F71A1B"/>
    <w:rsid w:val="00F7756C"/>
    <w:rsid w:val="00F77746"/>
    <w:rsid w:val="00F808D7"/>
    <w:rsid w:val="00F809E0"/>
    <w:rsid w:val="00F84F87"/>
    <w:rsid w:val="00F95738"/>
    <w:rsid w:val="00FC7F30"/>
    <w:rsid w:val="00FD1F65"/>
    <w:rsid w:val="00FE0C6E"/>
    <w:rsid w:val="00FE65CB"/>
    <w:rsid w:val="00FF2477"/>
    <w:rsid w:val="00FF7219"/>
    <w:rsid w:val="01923454"/>
    <w:rsid w:val="020D020A"/>
    <w:rsid w:val="03C5776D"/>
    <w:rsid w:val="04813ACB"/>
    <w:rsid w:val="04EC582C"/>
    <w:rsid w:val="05DA5A3E"/>
    <w:rsid w:val="074C5327"/>
    <w:rsid w:val="078D1BB1"/>
    <w:rsid w:val="08E6336B"/>
    <w:rsid w:val="094D3FED"/>
    <w:rsid w:val="09D81428"/>
    <w:rsid w:val="0A723425"/>
    <w:rsid w:val="0AB4190F"/>
    <w:rsid w:val="0B2F08E2"/>
    <w:rsid w:val="0B3D43EC"/>
    <w:rsid w:val="0C1E312B"/>
    <w:rsid w:val="0C692972"/>
    <w:rsid w:val="0D07564B"/>
    <w:rsid w:val="0D220DDB"/>
    <w:rsid w:val="0F0A1095"/>
    <w:rsid w:val="0F5B1DBC"/>
    <w:rsid w:val="10261C9C"/>
    <w:rsid w:val="116756CF"/>
    <w:rsid w:val="13595FE6"/>
    <w:rsid w:val="14707839"/>
    <w:rsid w:val="152751AF"/>
    <w:rsid w:val="183040B6"/>
    <w:rsid w:val="19D35DC9"/>
    <w:rsid w:val="1A52404B"/>
    <w:rsid w:val="1A9E024A"/>
    <w:rsid w:val="1ACA29D1"/>
    <w:rsid w:val="1D4775EF"/>
    <w:rsid w:val="1F371190"/>
    <w:rsid w:val="1FF54705"/>
    <w:rsid w:val="208F2472"/>
    <w:rsid w:val="21C625DA"/>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315370EC"/>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4043C18"/>
    <w:rsid w:val="444D1816"/>
    <w:rsid w:val="45194719"/>
    <w:rsid w:val="452B09A6"/>
    <w:rsid w:val="46240B0E"/>
    <w:rsid w:val="46352C08"/>
    <w:rsid w:val="47303E04"/>
    <w:rsid w:val="473F2B5F"/>
    <w:rsid w:val="48FF6E54"/>
    <w:rsid w:val="495B2B8A"/>
    <w:rsid w:val="4A012863"/>
    <w:rsid w:val="4A104B25"/>
    <w:rsid w:val="4B652FF4"/>
    <w:rsid w:val="4BD81567"/>
    <w:rsid w:val="4BEA169F"/>
    <w:rsid w:val="4CE4330A"/>
    <w:rsid w:val="4DAD16F6"/>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4420A3"/>
    <w:rsid w:val="61FE6238"/>
    <w:rsid w:val="622D62B6"/>
    <w:rsid w:val="62601902"/>
    <w:rsid w:val="628570D2"/>
    <w:rsid w:val="62922E73"/>
    <w:rsid w:val="637E0BE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9"/>
    <w:qFormat/>
    <w:uiPriority w:val="0"/>
    <w:pPr>
      <w:spacing w:after="0"/>
      <w:ind w:firstLine="420" w:firstLineChars="100"/>
    </w:pPr>
    <w:rPr>
      <w:rFonts w:eastAsia="仿宋_GB2312"/>
      <w:sz w:val="24"/>
      <w:szCs w:val="21"/>
    </w:rPr>
  </w:style>
  <w:style w:type="paragraph" w:styleId="3">
    <w:name w:val="Body Text"/>
    <w:basedOn w:val="1"/>
    <w:link w:val="18"/>
    <w:semiHidden/>
    <w:unhideWhenUsed/>
    <w:qFormat/>
    <w:uiPriority w:val="99"/>
    <w:pPr>
      <w:spacing w:after="120"/>
    </w:pPr>
  </w:style>
  <w:style w:type="paragraph" w:styleId="4">
    <w:name w:val="Date"/>
    <w:basedOn w:val="1"/>
    <w:next w:val="1"/>
    <w:link w:val="17"/>
    <w:qFormat/>
    <w:uiPriority w:val="0"/>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0"/>
    <w:rPr>
      <w:sz w:val="18"/>
      <w:szCs w:val="18"/>
    </w:rPr>
  </w:style>
  <w:style w:type="character" w:customStyle="1" w:styleId="15">
    <w:name w:val="批注框文本 Char"/>
    <w:basedOn w:val="9"/>
    <w:link w:val="5"/>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9"/>
    <w:link w:val="4"/>
    <w:uiPriority w:val="0"/>
    <w:rPr>
      <w:kern w:val="2"/>
      <w:sz w:val="21"/>
      <w:szCs w:val="24"/>
    </w:rPr>
  </w:style>
  <w:style w:type="character" w:customStyle="1" w:styleId="18">
    <w:name w:val="正文文本 Char"/>
    <w:basedOn w:val="9"/>
    <w:link w:val="3"/>
    <w:semiHidden/>
    <w:qFormat/>
    <w:uiPriority w:val="99"/>
    <w:rPr>
      <w:kern w:val="2"/>
      <w:sz w:val="21"/>
      <w:szCs w:val="24"/>
    </w:rPr>
  </w:style>
  <w:style w:type="character" w:customStyle="1" w:styleId="19">
    <w:name w:val="正文首行缩进 Char"/>
    <w:basedOn w:val="18"/>
    <w:link w:val="2"/>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9AEB5A-0FB7-4D9E-87D0-7F44789488B0}">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7</Pages>
  <Words>642</Words>
  <Characters>3661</Characters>
  <Lines>30</Lines>
  <Paragraphs>8</Paragraphs>
  <TotalTime>16</TotalTime>
  <ScaleCrop>false</ScaleCrop>
  <LinksUpToDate>false</LinksUpToDate>
  <CharactersWithSpaces>4295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2025-12-16T07:47:00Z</dcterms:created>
  <dc:creator>lenovo</dc:creator>
  <cp:lastModifiedBy>Administrator</cp:lastModifiedBy>
  <cp:lastPrinted>2026-01-12T06:16:00Z</cp:lastPrinted>
  <dcterms:modified xsi:type="dcterms:W3CDTF">2026-01-13T06:18:29Z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31E89DB0242841D889F13568FB956F29</vt:lpwstr>
  </property>
</Properties>
</file>