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大庆市第五医院迈瑞BS-800M生化分析仪配套试剂及耗材采购项目招标公告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2025010</w:t>
      </w:r>
    </w:p>
    <w:p>
      <w:pPr>
        <w:widowControl/>
        <w:spacing w:line="480" w:lineRule="exact"/>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1"/>
          <w:szCs w:val="21"/>
        </w:rPr>
        <w:t>大庆市第五医院迈瑞BS-800M生化分析仪配套试剂及耗材采购项目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2025年</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28</w:t>
      </w:r>
      <w:r>
        <w:rPr>
          <w:rFonts w:hint="eastAsia" w:asciiTheme="minorEastAsia" w:hAnsiTheme="minorEastAsia" w:eastAsiaTheme="minorEastAsia"/>
          <w:bCs/>
        </w:rPr>
        <w:t>日至2025年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12、能与我院迈瑞BS-800M生化分析仪配套使用。</w:t>
      </w:r>
    </w:p>
    <w:p>
      <w:pPr>
        <w:snapToGrid w:val="0"/>
        <w:spacing w:line="348" w:lineRule="auto"/>
        <w:rPr>
          <w:rFonts w:ascii="宋体" w:hAnsi="宋体" w:cs="宋体"/>
          <w:sz w:val="24"/>
        </w:rPr>
      </w:pPr>
      <w:r>
        <w:rPr>
          <w:rFonts w:hint="eastAsia" w:ascii="宋体" w:hAnsi="宋体" w:cs="宋体"/>
          <w:sz w:val="24"/>
        </w:rPr>
        <w:t>13、来院索参。</w:t>
      </w:r>
    </w:p>
    <w:p>
      <w:pPr>
        <w:pStyle w:val="8"/>
        <w:spacing w:before="0" w:beforeAutospacing="0" w:after="0" w:afterAutospacing="0" w:line="348"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投标人于2025年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4</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316"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0"/>
        <w:gridCol w:w="819"/>
        <w:gridCol w:w="811"/>
        <w:gridCol w:w="709"/>
        <w:gridCol w:w="708"/>
        <w:gridCol w:w="709"/>
        <w:gridCol w:w="992"/>
        <w:gridCol w:w="1134"/>
        <w:gridCol w:w="70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0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19"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81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708"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992"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134"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709"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795"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1</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葡萄糖（Glu-O）</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0.58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糖化血红蛋白(HbA1c)(含校准品)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24.32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α-淀粉酶(α-AMY)</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8.51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钙(Ca)</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0.70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镁(Mg)</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0.82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b/>
                <w:bCs/>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无机磷(P Ⅱ)</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0.63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C-反应蛋白(CRP)</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5.88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抗链球菌溶血素“O(含校准品)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16.25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类风湿因子(RF)测定试剂盒（含校准品）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18.24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载脂蛋白A1</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7.02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载脂蛋白B</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7.02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钾钠氯离子电极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19590</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样本稀释液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484</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ISE清洗液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4.50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ISE血清定标液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3.52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（高低浓度各1瓶）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ISE Na/K检验溶液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（Na/K检测溶液）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生化分析仪用清洗液CD80</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165.00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生化分析仪用清洗液A</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0.65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生化分析仪用清洗液B</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0.65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常规生化复合校准品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41.67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含ALB,ALP,ALT,AMY,AST,D-bil, T-bil,Ca, TC, CK, CREA ,Glu,γ-GT,α-HBDH, LDH, Mg, P, TP, TG, UREA, UA,CHE，LIP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脂类校准品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275.00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含ApoA1,ApoB,HDL-C,LDL-C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825.00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生化复合定值质控品（水平1）</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44.00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含ALT、AST、ALP、GGT、LDH、HBDH、AMY、CK、TB-DSA、DB-DSA、DB-V、TB-V、Glu-O、Glu-HK、Crea-J、Crea-S、TP、Alb、Urea、UA、Ca、Mg、P、Fe、UIBC、LIP、CHE、Na+、K +、Cl-、TC、TG、HDL-C、LDL-C 、ApoA1、ApoB、IgA、IgG、IgM、C3、C4、CRP、PA、CK-MB、FER、TRF、HS-CRP、ASO、ASOII、FR-CRP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生化复合定值质控品（水平2）</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44.00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HbA1c质控品（低值）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343.75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26</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HbA1c质控品（高值）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343.75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27</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风湿三项复合质控品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467.50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color w:val="000000"/>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含FR-CRP,RFⅡ,ASOⅡ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28</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胱抑素C质控品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58.67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color w:val="000000"/>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CysCⅡ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29</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二氧化碳(CO2)、总胆汁酸校准品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46.77 </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color w:val="000000"/>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CO2、TBA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肌酸激酶同工酶校准品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321</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color w:val="000000"/>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CK-MB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31</w:t>
            </w:r>
          </w:p>
        </w:tc>
        <w:tc>
          <w:tcPr>
            <w:tcW w:w="1430"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光源灯</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盒</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2000</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color w:val="000000"/>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糖化样本针组件</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3600</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color w:val="000000"/>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w:t>
            </w:r>
          </w:p>
        </w:tc>
        <w:tc>
          <w:tcPr>
            <w:tcW w:w="143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离子模块</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992"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28500</w:t>
            </w:r>
          </w:p>
        </w:tc>
        <w:tc>
          <w:tcPr>
            <w:tcW w:w="1134"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color w:val="000000"/>
                <w:kern w:val="0"/>
                <w:sz w:val="15"/>
                <w:szCs w:val="15"/>
              </w:rPr>
            </w:pPr>
          </w:p>
        </w:tc>
        <w:tc>
          <w:tcPr>
            <w:tcW w:w="1795" w:type="dxa"/>
            <w:vAlign w:val="center"/>
          </w:tcPr>
          <w:p>
            <w:pPr>
              <w:rPr>
                <w:rFonts w:ascii="宋体" w:hAnsi="宋体" w:cs="宋体"/>
                <w:color w:val="000000"/>
                <w:sz w:val="22"/>
                <w:szCs w:val="22"/>
              </w:rPr>
            </w:pPr>
            <w:r>
              <w:rPr>
                <w:rFonts w:hint="eastAsia"/>
                <w:color w:val="000000"/>
                <w:sz w:val="22"/>
                <w:szCs w:val="22"/>
              </w:rPr>
              <w:t>　</w:t>
            </w: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16</w:t>
      </w:r>
      <w:bookmarkStart w:id="0" w:name="_GoBack"/>
      <w:bookmarkEnd w:id="0"/>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8"/>
        <w:spacing w:before="0" w:beforeAutospacing="0" w:after="0" w:afterAutospacing="0" w:line="450" w:lineRule="atLeast"/>
        <w:rPr>
          <w:rFonts w:asciiTheme="minorEastAsia" w:hAnsiTheme="minorEastAsia" w:eastAsiaTheme="minorEastAsia"/>
          <w:b/>
          <w:bCs/>
          <w:color w:val="000000" w:themeColor="text1"/>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0BA8"/>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1D6175"/>
    <w:rsid w:val="10261C9C"/>
    <w:rsid w:val="116756CF"/>
    <w:rsid w:val="13595FE6"/>
    <w:rsid w:val="14707839"/>
    <w:rsid w:val="152751AF"/>
    <w:rsid w:val="19D35DC9"/>
    <w:rsid w:val="1A52404B"/>
    <w:rsid w:val="1A9E024A"/>
    <w:rsid w:val="1ACA29D1"/>
    <w:rsid w:val="1AD01EB5"/>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C26102F"/>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BE28CA"/>
    <w:rsid w:val="3AEC01E1"/>
    <w:rsid w:val="3B187370"/>
    <w:rsid w:val="3BB5427C"/>
    <w:rsid w:val="3CAC4D06"/>
    <w:rsid w:val="3E665485"/>
    <w:rsid w:val="3FB25C1A"/>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336556"/>
    <w:rsid w:val="6B9E631E"/>
    <w:rsid w:val="6BDE0052"/>
    <w:rsid w:val="6D0214C1"/>
    <w:rsid w:val="6D151B81"/>
    <w:rsid w:val="6D214E19"/>
    <w:rsid w:val="6DD66014"/>
    <w:rsid w:val="6E225874"/>
    <w:rsid w:val="6ED90310"/>
    <w:rsid w:val="6EEA144F"/>
    <w:rsid w:val="6F77477B"/>
    <w:rsid w:val="6FC0247A"/>
    <w:rsid w:val="7124600B"/>
    <w:rsid w:val="728E1B2D"/>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uiPriority w:val="0"/>
    <w:rPr>
      <w:kern w:val="2"/>
      <w:sz w:val="21"/>
      <w:szCs w:val="24"/>
    </w:rPr>
  </w:style>
  <w:style w:type="character" w:customStyle="1" w:styleId="18">
    <w:name w:val="正文文本 Char"/>
    <w:basedOn w:val="9"/>
    <w:link w:val="3"/>
    <w:semiHidden/>
    <w:uiPriority w:val="99"/>
    <w:rPr>
      <w:kern w:val="2"/>
      <w:sz w:val="21"/>
      <w:szCs w:val="24"/>
    </w:rPr>
  </w:style>
  <w:style w:type="character" w:customStyle="1" w:styleId="19">
    <w:name w:val="正文首行缩进 Char"/>
    <w:basedOn w:val="18"/>
    <w:link w:val="2"/>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20DBF-D3A5-44B8-A6C6-F0D2280B6A11}">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23</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2025-02-24T00:55:00Z</cp:lastPrinted>
  <dcterms:modified xsi:type="dcterms:W3CDTF">2025-02-27T08:54:27Z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