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大庆市第五医院一次性使用真空采血管采购项目招标公告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2022030</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大庆市第五医院一次性使用真空采血管</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7230" w:type="dxa"/>
        <w:jc w:val="center"/>
        <w:tblLayout w:type="fixed"/>
        <w:tblCellMar>
          <w:top w:w="15" w:type="dxa"/>
          <w:left w:w="15" w:type="dxa"/>
          <w:bottom w:w="15" w:type="dxa"/>
          <w:right w:w="15" w:type="dxa"/>
        </w:tblCellMar>
      </w:tblPr>
      <w:tblGrid>
        <w:gridCol w:w="464"/>
        <w:gridCol w:w="3080"/>
        <w:gridCol w:w="1134"/>
        <w:gridCol w:w="1134"/>
        <w:gridCol w:w="14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12*75各颜色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宋体"/>
                <w:sz w:val="20"/>
                <w:szCs w:val="20"/>
              </w:rPr>
            </w:pPr>
            <w:r>
              <w:rPr>
                <w:rFonts w:ascii="Calibri" w:hAnsi="Calibri"/>
                <w:sz w:val="20"/>
                <w:szCs w:val="20"/>
              </w:rPr>
              <w:t>1.0</w:t>
            </w:r>
            <w:r>
              <w:rPr>
                <w:rFonts w:hint="eastAsia" w:ascii="Calibri" w:hAnsi="Calibri"/>
                <w:sz w:val="20"/>
                <w:szCs w:val="20"/>
              </w:rPr>
              <w:t>3</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1.6ml（黑色）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宋体"/>
                <w:sz w:val="20"/>
                <w:szCs w:val="20"/>
              </w:rPr>
            </w:pPr>
            <w:r>
              <w:rPr>
                <w:rFonts w:ascii="Calibri" w:hAnsi="Calibri"/>
                <w:sz w:val="20"/>
                <w:szCs w:val="20"/>
              </w:rPr>
              <w:t>1.46</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25</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27</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lang w:eastAsia="zh-CN"/>
        </w:rPr>
        <w:t>单位负责人为同一人或者隶属同一集团公司内部存在直接、间接控股、关联管理关系的所有生产商，只能对唯一一家供应商授权。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11、</w:t>
      </w:r>
      <w:r>
        <w:rPr>
          <w:rFonts w:hint="eastAsia" w:ascii="宋体" w:hAnsi="宋体" w:eastAsia="宋体" w:cs="宋体"/>
          <w:b w:val="0"/>
          <w:bCs w:val="0"/>
          <w:color w:val="FF0000"/>
          <w:sz w:val="21"/>
          <w:szCs w:val="21"/>
          <w:lang w:eastAsia="zh-CN"/>
        </w:rPr>
        <w:t>单位负责人为同一人或者存在直接、间接控股、关联管理关系的不同供应商，只能有一家参加同一项目下的采购活动。</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27</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9"/>
        <w:tblW w:w="10542" w:type="dxa"/>
        <w:jc w:val="center"/>
        <w:tblLayout w:type="fixed"/>
        <w:tblCellMar>
          <w:top w:w="15" w:type="dxa"/>
          <w:left w:w="15" w:type="dxa"/>
          <w:bottom w:w="15" w:type="dxa"/>
          <w:right w:w="15" w:type="dxa"/>
        </w:tblCellMar>
      </w:tblPr>
      <w:tblGrid>
        <w:gridCol w:w="464"/>
        <w:gridCol w:w="3080"/>
        <w:gridCol w:w="1134"/>
        <w:gridCol w:w="1134"/>
        <w:gridCol w:w="1276"/>
        <w:gridCol w:w="1418"/>
        <w:gridCol w:w="1018"/>
        <w:gridCol w:w="10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单位</w:t>
            </w:r>
          </w:p>
        </w:tc>
        <w:tc>
          <w:tcPr>
            <w:tcW w:w="127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12*75各颜色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1.6ml（黑色）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decorative"/>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62B6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4448B"/>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1CE"/>
    <w:rsid w:val="00461CBD"/>
    <w:rsid w:val="00484639"/>
    <w:rsid w:val="0048709A"/>
    <w:rsid w:val="004A3545"/>
    <w:rsid w:val="004B24AD"/>
    <w:rsid w:val="004B2A6D"/>
    <w:rsid w:val="004B6026"/>
    <w:rsid w:val="004C24B3"/>
    <w:rsid w:val="004C6649"/>
    <w:rsid w:val="004D1F56"/>
    <w:rsid w:val="004E3565"/>
    <w:rsid w:val="004E3E02"/>
    <w:rsid w:val="004E4C21"/>
    <w:rsid w:val="004E6CFE"/>
    <w:rsid w:val="004E6FB1"/>
    <w:rsid w:val="004E7978"/>
    <w:rsid w:val="004F2BB8"/>
    <w:rsid w:val="004F7AD9"/>
    <w:rsid w:val="004F7B56"/>
    <w:rsid w:val="00516C9D"/>
    <w:rsid w:val="005214BA"/>
    <w:rsid w:val="00521D0C"/>
    <w:rsid w:val="00524D1A"/>
    <w:rsid w:val="00526573"/>
    <w:rsid w:val="00530862"/>
    <w:rsid w:val="0056140E"/>
    <w:rsid w:val="0056594A"/>
    <w:rsid w:val="00570B63"/>
    <w:rsid w:val="00574749"/>
    <w:rsid w:val="005831AF"/>
    <w:rsid w:val="0058425B"/>
    <w:rsid w:val="00597A83"/>
    <w:rsid w:val="005B7964"/>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103C5"/>
    <w:rsid w:val="00732371"/>
    <w:rsid w:val="00743D1B"/>
    <w:rsid w:val="00746E5E"/>
    <w:rsid w:val="00746F31"/>
    <w:rsid w:val="0078081E"/>
    <w:rsid w:val="007958B6"/>
    <w:rsid w:val="007A1100"/>
    <w:rsid w:val="007B4DA3"/>
    <w:rsid w:val="007B51EA"/>
    <w:rsid w:val="007C38E3"/>
    <w:rsid w:val="007D6615"/>
    <w:rsid w:val="007E1215"/>
    <w:rsid w:val="007F5CAB"/>
    <w:rsid w:val="0081324C"/>
    <w:rsid w:val="00815FEB"/>
    <w:rsid w:val="0083028F"/>
    <w:rsid w:val="00837C23"/>
    <w:rsid w:val="00860910"/>
    <w:rsid w:val="00867172"/>
    <w:rsid w:val="00882D4E"/>
    <w:rsid w:val="008A633C"/>
    <w:rsid w:val="008B443D"/>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C542C"/>
    <w:rsid w:val="009F38A9"/>
    <w:rsid w:val="00A21B47"/>
    <w:rsid w:val="00A251E5"/>
    <w:rsid w:val="00A35888"/>
    <w:rsid w:val="00A373AE"/>
    <w:rsid w:val="00A54BA4"/>
    <w:rsid w:val="00A60B0B"/>
    <w:rsid w:val="00A64865"/>
    <w:rsid w:val="00A67129"/>
    <w:rsid w:val="00A72D9B"/>
    <w:rsid w:val="00A7443E"/>
    <w:rsid w:val="00A770D8"/>
    <w:rsid w:val="00A821D0"/>
    <w:rsid w:val="00A874D1"/>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73B8B"/>
    <w:rsid w:val="00B878D0"/>
    <w:rsid w:val="00B95F52"/>
    <w:rsid w:val="00B966EC"/>
    <w:rsid w:val="00B969FD"/>
    <w:rsid w:val="00BA0AF3"/>
    <w:rsid w:val="00BA21AE"/>
    <w:rsid w:val="00BC2C93"/>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05119"/>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7170C"/>
    <w:rsid w:val="00E80620"/>
    <w:rsid w:val="00EA64F1"/>
    <w:rsid w:val="00EB3DD5"/>
    <w:rsid w:val="00EC7C2B"/>
    <w:rsid w:val="00EE13F4"/>
    <w:rsid w:val="00EE3EAB"/>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970826"/>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004B59"/>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9B0DAA"/>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332</Words>
  <Characters>1895</Characters>
  <Lines>15</Lines>
  <Paragraphs>4</Paragraphs>
  <TotalTime>3</TotalTime>
  <ScaleCrop>false</ScaleCrop>
  <LinksUpToDate>false</LinksUpToDate>
  <CharactersWithSpaces>2223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2022-05-24T07:47:40Z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