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0"/>
        </w:tabs>
        <w:autoSpaceDE w:val="0"/>
        <w:autoSpaceDN w:val="0"/>
        <w:adjustRightInd w:val="0"/>
        <w:spacing w:before="0" w:after="0" w:line="360" w:lineRule="auto"/>
        <w:jc w:val="center"/>
        <w:rPr>
          <w:rFonts w:ascii="华文中宋" w:hAnsi="华文中宋" w:eastAsia="华文中宋"/>
        </w:rPr>
      </w:pPr>
      <w:bookmarkStart w:id="0" w:name="_Toc35393832"/>
      <w:bookmarkStart w:id="1" w:name="_Toc28359042"/>
      <w:r>
        <w:rPr>
          <w:rFonts w:hint="eastAsia" w:ascii="华文中宋" w:hAnsi="华文中宋" w:eastAsia="华文中宋"/>
        </w:rPr>
        <w:t>单一来源采购公示</w:t>
      </w:r>
      <w:bookmarkEnd w:id="0"/>
      <w:bookmarkEnd w:id="1"/>
    </w:p>
    <w:p>
      <w:pPr>
        <w:rPr>
          <w:rFonts w:ascii="黑体" w:hAnsi="黑体" w:eastAsia="黑体"/>
          <w:sz w:val="28"/>
          <w:szCs w:val="28"/>
        </w:rPr>
      </w:pPr>
      <w:r>
        <w:rPr>
          <w:rFonts w:hint="eastAsia" w:ascii="黑体" w:hAnsi="黑体" w:eastAsia="黑体"/>
          <w:sz w:val="28"/>
          <w:szCs w:val="28"/>
        </w:rPr>
        <w:t>一、项目信息</w:t>
      </w:r>
    </w:p>
    <w:p>
      <w:pPr>
        <w:ind w:firstLine="560" w:firstLineChars="200"/>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采购人：</w:t>
      </w:r>
      <w:r>
        <w:rPr>
          <w:rFonts w:hint="eastAsia" w:ascii="宋体" w:hAnsi="宋体" w:eastAsia="宋体" w:cs="宋体"/>
          <w:color w:val="000000" w:themeColor="text1"/>
          <w:sz w:val="28"/>
          <w:szCs w:val="28"/>
          <w:u w:val="single"/>
        </w:rPr>
        <w:t>　　大庆市第五医院　　</w:t>
      </w:r>
    </w:p>
    <w:p>
      <w:pPr>
        <w:ind w:firstLine="560" w:firstLineChars="200"/>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rPr>
        <w:t>项目名称：</w:t>
      </w:r>
      <w:r>
        <w:rPr>
          <w:rFonts w:hint="eastAsia" w:ascii="宋体" w:hAnsi="宋体" w:eastAsia="宋体" w:cs="宋体"/>
          <w:color w:val="000000" w:themeColor="text1"/>
          <w:sz w:val="28"/>
          <w:szCs w:val="28"/>
          <w:u w:val="single"/>
        </w:rPr>
        <w:t>大庆市第五医院检验科试剂采购项目</w:t>
      </w:r>
    </w:p>
    <w:p>
      <w:pPr>
        <w:ind w:firstLine="560" w:firstLineChars="200"/>
        <w:rPr>
          <w:rFonts w:hint="eastAsia" w:ascii="宋体" w:hAnsi="宋体" w:eastAsia="宋体" w:cs="宋体"/>
          <w:color w:val="000000" w:themeColor="text1"/>
          <w:sz w:val="28"/>
          <w:szCs w:val="28"/>
          <w:u w:val="single"/>
          <w:lang w:eastAsia="zh-CN"/>
        </w:rPr>
      </w:pPr>
      <w:r>
        <w:rPr>
          <w:rFonts w:hint="eastAsia" w:ascii="宋体" w:hAnsi="宋体" w:eastAsia="宋体" w:cs="宋体"/>
          <w:color w:val="000000" w:themeColor="text1"/>
          <w:sz w:val="28"/>
          <w:szCs w:val="28"/>
        </w:rPr>
        <w:t>拟采购的货物或服务的说明：</w:t>
      </w:r>
      <w:r>
        <w:rPr>
          <w:rFonts w:hint="eastAsia" w:ascii="宋体" w:hAnsi="宋体" w:eastAsia="宋体" w:cs="宋体"/>
          <w:color w:val="000000" w:themeColor="text1"/>
          <w:sz w:val="28"/>
          <w:szCs w:val="28"/>
          <w:u w:val="single"/>
        </w:rPr>
        <w:t>　梅里埃微生物鉴定和药敏分析仪、日立7180全自动生化分析仪、雅培C8000生化分析仪、武汉泓源水机、希森美康血细胞分析仪、北京现代沃尔血气分析仪、长春曼特诺尿11项分析仪US500和迪瑞仪器CS-1600</w:t>
      </w:r>
      <w:r>
        <w:rPr>
          <w:rFonts w:hint="eastAsia" w:ascii="宋体" w:hAnsi="宋体" w:cs="宋体"/>
          <w:color w:val="000000" w:themeColor="text1"/>
          <w:sz w:val="28"/>
          <w:szCs w:val="28"/>
          <w:u w:val="single"/>
          <w:lang w:eastAsia="zh-CN"/>
        </w:rPr>
        <w:t>等</w:t>
      </w:r>
      <w:r>
        <w:rPr>
          <w:rFonts w:hint="eastAsia" w:ascii="宋体" w:hAnsi="宋体" w:eastAsia="宋体" w:cs="宋体"/>
          <w:color w:val="000000" w:themeColor="text1"/>
          <w:sz w:val="28"/>
          <w:szCs w:val="28"/>
          <w:u w:val="single"/>
        </w:rPr>
        <w:t>配套试剂</w:t>
      </w:r>
      <w:r>
        <w:rPr>
          <w:rFonts w:hint="eastAsia" w:ascii="宋体" w:hAnsi="宋体" w:cs="宋体"/>
          <w:color w:val="000000" w:themeColor="text1"/>
          <w:sz w:val="28"/>
          <w:szCs w:val="28"/>
          <w:u w:val="single"/>
          <w:lang w:eastAsia="zh-CN"/>
        </w:rPr>
        <w:t>。</w:t>
      </w:r>
    </w:p>
    <w:p>
      <w:pPr>
        <w:ind w:firstLine="560" w:firstLineChars="200"/>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拟采购的货物或服务的预算金额</w:t>
      </w:r>
      <w:r>
        <w:rPr>
          <w:rFonts w:hint="eastAsia" w:ascii="宋体" w:hAnsi="宋体" w:eastAsia="宋体" w:cs="宋体"/>
          <w:color w:val="000000" w:themeColor="text1"/>
          <w:sz w:val="28"/>
          <w:szCs w:val="28"/>
          <w:u w:val="single"/>
        </w:rPr>
        <w:t>（见下表）：</w:t>
      </w:r>
    </w:p>
    <w:tbl>
      <w:tblPr>
        <w:tblStyle w:val="16"/>
        <w:tblW w:w="9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4820"/>
        <w:gridCol w:w="1571"/>
        <w:gridCol w:w="1005"/>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b/>
                <w:bCs/>
                <w:color w:val="000000"/>
                <w:kern w:val="0"/>
              </w:rPr>
            </w:pPr>
            <w:r>
              <w:rPr>
                <w:rFonts w:hint="eastAsia" w:ascii="宋体" w:hAnsi="宋体" w:cs="宋体"/>
                <w:b/>
                <w:bCs/>
                <w:color w:val="000000"/>
                <w:kern w:val="0"/>
              </w:rPr>
              <w:t>序号</w:t>
            </w:r>
          </w:p>
        </w:tc>
        <w:tc>
          <w:tcPr>
            <w:tcW w:w="4820" w:type="dxa"/>
            <w:shd w:val="clear" w:color="auto" w:fill="auto"/>
            <w:vAlign w:val="center"/>
          </w:tcPr>
          <w:p>
            <w:pPr>
              <w:widowControl/>
              <w:jc w:val="center"/>
              <w:rPr>
                <w:rFonts w:ascii="宋体" w:hAnsi="宋体" w:cs="宋体"/>
                <w:b/>
                <w:bCs/>
                <w:color w:val="000000"/>
                <w:kern w:val="0"/>
              </w:rPr>
            </w:pPr>
            <w:r>
              <w:rPr>
                <w:rFonts w:hint="eastAsia" w:ascii="宋体" w:hAnsi="宋体" w:cs="宋体"/>
                <w:b/>
                <w:bCs/>
                <w:color w:val="000000"/>
                <w:kern w:val="0"/>
              </w:rPr>
              <w:t>产品名称</w:t>
            </w:r>
          </w:p>
        </w:tc>
        <w:tc>
          <w:tcPr>
            <w:tcW w:w="1571" w:type="dxa"/>
            <w:shd w:val="clear" w:color="auto" w:fill="auto"/>
            <w:vAlign w:val="center"/>
          </w:tcPr>
          <w:p>
            <w:pPr>
              <w:widowControl/>
              <w:jc w:val="center"/>
              <w:rPr>
                <w:rFonts w:ascii="宋体" w:hAnsi="宋体" w:cs="宋体"/>
                <w:b/>
                <w:bCs/>
                <w:color w:val="000000"/>
                <w:kern w:val="0"/>
              </w:rPr>
            </w:pPr>
            <w:r>
              <w:rPr>
                <w:rFonts w:hint="eastAsia" w:ascii="宋体" w:hAnsi="宋体" w:cs="宋体"/>
                <w:b/>
                <w:bCs/>
                <w:color w:val="000000"/>
                <w:kern w:val="0"/>
              </w:rPr>
              <w:t>规格型号</w:t>
            </w:r>
          </w:p>
        </w:tc>
        <w:tc>
          <w:tcPr>
            <w:tcW w:w="1005" w:type="dxa"/>
            <w:shd w:val="clear" w:color="auto" w:fill="auto"/>
            <w:vAlign w:val="center"/>
          </w:tcPr>
          <w:p>
            <w:pPr>
              <w:widowControl/>
              <w:jc w:val="center"/>
              <w:rPr>
                <w:rFonts w:ascii="宋体" w:hAnsi="宋体" w:cs="宋体"/>
                <w:b/>
                <w:bCs/>
                <w:color w:val="000000"/>
                <w:kern w:val="0"/>
              </w:rPr>
            </w:pPr>
            <w:r>
              <w:rPr>
                <w:rFonts w:hint="eastAsia" w:ascii="宋体" w:hAnsi="宋体" w:cs="宋体"/>
                <w:b/>
                <w:bCs/>
                <w:color w:val="000000"/>
                <w:kern w:val="0"/>
              </w:rPr>
              <w:t>单位</w:t>
            </w:r>
          </w:p>
        </w:tc>
        <w:tc>
          <w:tcPr>
            <w:tcW w:w="1612" w:type="dxa"/>
            <w:shd w:val="clear" w:color="auto" w:fill="auto"/>
            <w:vAlign w:val="center"/>
          </w:tcPr>
          <w:p>
            <w:pPr>
              <w:widowControl/>
              <w:jc w:val="center"/>
              <w:rPr>
                <w:rFonts w:ascii="宋体" w:hAnsi="宋体" w:cs="宋体"/>
                <w:b/>
                <w:bCs/>
                <w:color w:val="000000"/>
                <w:kern w:val="0"/>
              </w:rPr>
            </w:pPr>
            <w:r>
              <w:rPr>
                <w:rFonts w:hint="eastAsia" w:ascii="宋体" w:hAnsi="宋体" w:cs="宋体"/>
                <w:b/>
                <w:bCs/>
                <w:color w:val="000000"/>
                <w:kern w:val="0"/>
              </w:rPr>
              <w:t>含税单价（元）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ATB  酵母菌</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25测试/盒</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1201.59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肠杆菌药敏试剂盒412064</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1048.85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肠球菌药敏试剂盒14365</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664.27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ATB 葡萄球菌药敏测定412065</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25条+25配套</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847.82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ATB PSE5 假单胞菌及有关菌药敏测定（非发酵菌药敏412067）</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25条</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610.43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6</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ATB链球菌属药敏测定 412068</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10T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366.22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7</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NACl0.85% 悬浮液3ml 20040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100安瓿</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793.56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8</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成人需氧瓶</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9</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儿童瓶</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10</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革兰氏阴性杆菌鉴定 32100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11</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肠杆菌鉴定 32400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997.28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12</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葡萄球菌及微球菌鉴定</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13</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快速链球菌及相关菌鉴定</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1037.71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14</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NIT1+NIT2 硝酸盐</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4安瓿</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15</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NIN马尿酸</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1安瓿</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169.56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16</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JAMES</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183.11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17</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FB 坚固兰 70562</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2安瓿</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285.99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18</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VP A+VP B</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2安瓿</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19</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ATB配套安瓶（肉汤培养基）</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100安瓶</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793.56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20</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ATB无菌加样吸头</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500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箱</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1185.78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21</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电子加样枪（15506）</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ATB</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9626.83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22</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加样枪胶圈4550592A</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4550592</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23</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7180比色杯</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日立7180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5537.67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24</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7180清洗液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日立7180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1446.94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25</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7180灯泡</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7060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1882.87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26</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ICT清洗液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4670.14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27</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ICTD定标液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1*10ml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6754.88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28</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ICT参比液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2*2L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6910.23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29</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ICTD稀释液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1*93ml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3491.72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30</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去污剂A(清洗剂A）</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2240.51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31</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样本针C8000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C8/120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11835.97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32</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试剂针</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C8000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9752.84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33</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C8000 电极</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雅培</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20394.29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34</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水浴槽添加剂</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3491.72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35</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去污剂B（清洗剂B）</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3521.94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36</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PPF滤芯</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LK60-C型</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37</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水机活性炭芯</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活性炭</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339.26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38</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树脂滤芯</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树脂</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595.44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39</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水机顶处理膜</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LK-60C型</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1980.21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40</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血气分析测试卡</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25T/盒</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1047.03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41</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定标气瓶</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BP7001</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757.51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42</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C8000 比色杯</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C8000</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8342.4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43</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样本稀释液7180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 xml:space="preserve"> </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792.08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44</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钠、钾、氯离子浓度检测内部标准液7180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803.75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45</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钠、钾、氯离子浓度检测参比电极液7180</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958.77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46</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血细胞分析用溶血剂（SLS）</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455.04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47</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血细胞分析用溶血剂（4DL）</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5L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1668.48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48</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血细胞分析用染色液（4DS）</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42ml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袋</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49</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血细胞分析用稀释液（CPK-304A）</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20L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50</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质控品</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4.6ml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51</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KX-21稀释液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20L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箱</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247.4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52</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KX-21清洗液</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585.94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53</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KX-21溶血剂</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500ml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瓶</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429.7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54</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尿液分析试纸条</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100T</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筒</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101.97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ascii="宋体" w:hAnsi="宋体" w:cs="宋体"/>
                <w:kern w:val="0"/>
              </w:rPr>
            </w:pPr>
            <w:r>
              <w:rPr>
                <w:rFonts w:hint="eastAsia" w:ascii="宋体" w:hAnsi="宋体" w:cs="宋体"/>
                <w:kern w:val="0"/>
              </w:rPr>
              <w:t>55</w:t>
            </w:r>
          </w:p>
        </w:tc>
        <w:tc>
          <w:tcPr>
            <w:tcW w:w="4820" w:type="dxa"/>
            <w:shd w:val="clear" w:color="auto" w:fill="auto"/>
            <w:vAlign w:val="center"/>
          </w:tcPr>
          <w:p>
            <w:pPr>
              <w:widowControl/>
              <w:jc w:val="center"/>
              <w:rPr>
                <w:rFonts w:ascii="宋体" w:hAnsi="宋体" w:cs="宋体"/>
                <w:kern w:val="0"/>
              </w:rPr>
            </w:pPr>
            <w:r>
              <w:rPr>
                <w:rFonts w:hint="eastAsia" w:ascii="宋体" w:hAnsi="宋体" w:cs="宋体"/>
                <w:kern w:val="0"/>
              </w:rPr>
              <w:t>尿液分析质控品</w:t>
            </w:r>
          </w:p>
        </w:tc>
        <w:tc>
          <w:tcPr>
            <w:tcW w:w="1571" w:type="dxa"/>
            <w:shd w:val="clear" w:color="auto" w:fill="auto"/>
            <w:vAlign w:val="center"/>
          </w:tcPr>
          <w:p>
            <w:pPr>
              <w:widowControl/>
              <w:jc w:val="center"/>
              <w:rPr>
                <w:rFonts w:ascii="宋体" w:hAnsi="宋体" w:cs="宋体"/>
                <w:kern w:val="0"/>
              </w:rPr>
            </w:pPr>
            <w:r>
              <w:rPr>
                <w:rFonts w:hint="eastAsia" w:ascii="宋体" w:hAnsi="宋体" w:cs="宋体"/>
                <w:kern w:val="0"/>
              </w:rPr>
              <w:t>8ml</w:t>
            </w:r>
          </w:p>
        </w:tc>
        <w:tc>
          <w:tcPr>
            <w:tcW w:w="1005" w:type="dxa"/>
            <w:shd w:val="clear" w:color="auto" w:fill="auto"/>
            <w:vAlign w:val="center"/>
          </w:tcPr>
          <w:p>
            <w:pPr>
              <w:widowControl/>
              <w:jc w:val="center"/>
              <w:rPr>
                <w:rFonts w:ascii="宋体" w:hAnsi="宋体" w:cs="宋体"/>
                <w:kern w:val="0"/>
              </w:rPr>
            </w:pPr>
            <w:r>
              <w:rPr>
                <w:rFonts w:hint="eastAsia" w:ascii="宋体" w:hAnsi="宋体" w:cs="宋体"/>
                <w:kern w:val="0"/>
              </w:rPr>
              <w:t>支</w:t>
            </w:r>
          </w:p>
        </w:tc>
        <w:tc>
          <w:tcPr>
            <w:tcW w:w="1612" w:type="dxa"/>
            <w:shd w:val="clear" w:color="auto" w:fill="auto"/>
            <w:vAlign w:val="center"/>
          </w:tcPr>
          <w:p>
            <w:pPr>
              <w:widowControl/>
              <w:jc w:val="center"/>
              <w:rPr>
                <w:rFonts w:ascii="宋体" w:hAnsi="宋体" w:cs="宋体"/>
                <w:kern w:val="0"/>
              </w:rPr>
            </w:pPr>
            <w:r>
              <w:rPr>
                <w:rFonts w:hint="eastAsia" w:ascii="宋体" w:hAnsi="宋体" w:cs="宋体"/>
                <w:kern w:val="0"/>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56</w:t>
            </w:r>
          </w:p>
        </w:tc>
        <w:tc>
          <w:tcPr>
            <w:tcW w:w="4820" w:type="dxa"/>
            <w:shd w:val="clear" w:color="auto" w:fill="auto"/>
            <w:vAlign w:val="bottom"/>
          </w:tcPr>
          <w:p>
            <w:pPr>
              <w:jc w:val="center"/>
              <w:rPr>
                <w:rFonts w:ascii="宋体" w:hAnsi="宋体" w:cs="宋体"/>
              </w:rPr>
            </w:pPr>
            <w:r>
              <w:rPr>
                <w:rFonts w:hint="eastAsia"/>
              </w:rPr>
              <w:t>钾（K）</w:t>
            </w:r>
          </w:p>
        </w:tc>
        <w:tc>
          <w:tcPr>
            <w:tcW w:w="1571" w:type="dxa"/>
            <w:shd w:val="clear" w:color="auto" w:fill="auto"/>
            <w:vAlign w:val="bottom"/>
          </w:tcPr>
          <w:p>
            <w:pPr>
              <w:jc w:val="center"/>
              <w:rPr>
                <w:rFonts w:ascii="宋体" w:hAnsi="宋体" w:cs="宋体"/>
              </w:rPr>
            </w:pPr>
            <w:r>
              <w:rPr>
                <w:rFonts w:hint="eastAsia"/>
              </w:rPr>
              <w:t>　</w:t>
            </w:r>
          </w:p>
        </w:tc>
        <w:tc>
          <w:tcPr>
            <w:tcW w:w="1005" w:type="dxa"/>
            <w:shd w:val="clear" w:color="auto" w:fill="auto"/>
            <w:vAlign w:val="bottom"/>
          </w:tcPr>
          <w:p>
            <w:pPr>
              <w:jc w:val="center"/>
              <w:rPr>
                <w:rFonts w:ascii="宋体" w:hAnsi="宋体" w:cs="宋体"/>
              </w:rPr>
            </w:pPr>
            <w:r>
              <w:rPr>
                <w:rFonts w:hint="eastAsia"/>
              </w:rPr>
              <w:t>个</w:t>
            </w:r>
          </w:p>
        </w:tc>
        <w:tc>
          <w:tcPr>
            <w:tcW w:w="1612" w:type="dxa"/>
            <w:shd w:val="clear" w:color="auto" w:fill="auto"/>
            <w:vAlign w:val="bottom"/>
          </w:tcPr>
          <w:p>
            <w:pPr>
              <w:jc w:val="center"/>
              <w:rPr>
                <w:rFonts w:ascii="宋体" w:hAnsi="宋体" w:cs="宋体"/>
              </w:rPr>
            </w:pPr>
            <w:r>
              <w:rPr>
                <w:rFonts w:hint="eastAsia"/>
              </w:rPr>
              <w:t>2560.8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57</w:t>
            </w:r>
          </w:p>
        </w:tc>
        <w:tc>
          <w:tcPr>
            <w:tcW w:w="4820" w:type="dxa"/>
            <w:shd w:val="clear" w:color="auto" w:fill="auto"/>
            <w:vAlign w:val="bottom"/>
          </w:tcPr>
          <w:p>
            <w:pPr>
              <w:jc w:val="center"/>
              <w:rPr>
                <w:rFonts w:ascii="宋体" w:hAnsi="宋体" w:cs="宋体"/>
              </w:rPr>
            </w:pPr>
            <w:r>
              <w:rPr>
                <w:rFonts w:hint="eastAsia"/>
              </w:rPr>
              <w:t>钠（Na）</w:t>
            </w:r>
          </w:p>
        </w:tc>
        <w:tc>
          <w:tcPr>
            <w:tcW w:w="1571" w:type="dxa"/>
            <w:shd w:val="clear" w:color="auto" w:fill="auto"/>
            <w:vAlign w:val="bottom"/>
          </w:tcPr>
          <w:p>
            <w:pPr>
              <w:jc w:val="center"/>
              <w:rPr>
                <w:rFonts w:ascii="宋体" w:hAnsi="宋体" w:cs="宋体"/>
              </w:rPr>
            </w:pPr>
            <w:r>
              <w:rPr>
                <w:rFonts w:hint="eastAsia"/>
              </w:rPr>
              <w:t>　</w:t>
            </w:r>
          </w:p>
        </w:tc>
        <w:tc>
          <w:tcPr>
            <w:tcW w:w="1005" w:type="dxa"/>
            <w:shd w:val="clear" w:color="auto" w:fill="auto"/>
            <w:vAlign w:val="bottom"/>
          </w:tcPr>
          <w:p>
            <w:pPr>
              <w:jc w:val="center"/>
              <w:rPr>
                <w:rFonts w:ascii="宋体" w:hAnsi="宋体" w:cs="宋体"/>
              </w:rPr>
            </w:pPr>
            <w:r>
              <w:rPr>
                <w:rFonts w:hint="eastAsia"/>
              </w:rPr>
              <w:t>个</w:t>
            </w:r>
          </w:p>
        </w:tc>
        <w:tc>
          <w:tcPr>
            <w:tcW w:w="1612" w:type="dxa"/>
            <w:shd w:val="clear" w:color="auto" w:fill="auto"/>
            <w:vAlign w:val="bottom"/>
          </w:tcPr>
          <w:p>
            <w:pPr>
              <w:jc w:val="center"/>
              <w:rPr>
                <w:rFonts w:ascii="宋体" w:hAnsi="宋体" w:cs="宋体"/>
              </w:rPr>
            </w:pPr>
            <w:r>
              <w:rPr>
                <w:rFonts w:hint="eastAsia"/>
              </w:rPr>
              <w:t>4831.2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58</w:t>
            </w:r>
          </w:p>
        </w:tc>
        <w:tc>
          <w:tcPr>
            <w:tcW w:w="4820" w:type="dxa"/>
            <w:shd w:val="clear" w:color="auto" w:fill="auto"/>
            <w:vAlign w:val="bottom"/>
          </w:tcPr>
          <w:p>
            <w:pPr>
              <w:jc w:val="center"/>
              <w:rPr>
                <w:rFonts w:ascii="宋体" w:hAnsi="宋体" w:cs="宋体"/>
              </w:rPr>
            </w:pPr>
            <w:r>
              <w:rPr>
                <w:rFonts w:hint="eastAsia"/>
              </w:rPr>
              <w:t>氯（CL）</w:t>
            </w:r>
          </w:p>
        </w:tc>
        <w:tc>
          <w:tcPr>
            <w:tcW w:w="1571" w:type="dxa"/>
            <w:shd w:val="clear" w:color="auto" w:fill="auto"/>
            <w:vAlign w:val="bottom"/>
          </w:tcPr>
          <w:p>
            <w:pPr>
              <w:jc w:val="center"/>
              <w:rPr>
                <w:rFonts w:ascii="宋体" w:hAnsi="宋体" w:cs="宋体"/>
              </w:rPr>
            </w:pPr>
            <w:r>
              <w:rPr>
                <w:rFonts w:hint="eastAsia"/>
              </w:rPr>
              <w:t>　</w:t>
            </w:r>
          </w:p>
        </w:tc>
        <w:tc>
          <w:tcPr>
            <w:tcW w:w="1005" w:type="dxa"/>
            <w:shd w:val="clear" w:color="auto" w:fill="auto"/>
            <w:vAlign w:val="bottom"/>
          </w:tcPr>
          <w:p>
            <w:pPr>
              <w:jc w:val="center"/>
              <w:rPr>
                <w:rFonts w:ascii="宋体" w:hAnsi="宋体" w:cs="宋体"/>
              </w:rPr>
            </w:pPr>
            <w:r>
              <w:rPr>
                <w:rFonts w:hint="eastAsia"/>
              </w:rPr>
              <w:t>个</w:t>
            </w:r>
          </w:p>
        </w:tc>
        <w:tc>
          <w:tcPr>
            <w:tcW w:w="1612" w:type="dxa"/>
            <w:shd w:val="clear" w:color="auto" w:fill="auto"/>
            <w:vAlign w:val="bottom"/>
          </w:tcPr>
          <w:p>
            <w:pPr>
              <w:jc w:val="center"/>
              <w:rPr>
                <w:rFonts w:ascii="宋体" w:hAnsi="宋体" w:cs="宋体"/>
              </w:rPr>
            </w:pPr>
            <w:r>
              <w:rPr>
                <w:rFonts w:hint="eastAsia"/>
              </w:rPr>
              <w:t>4250.4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59</w:t>
            </w:r>
          </w:p>
        </w:tc>
        <w:tc>
          <w:tcPr>
            <w:tcW w:w="4820" w:type="dxa"/>
            <w:shd w:val="clear" w:color="auto" w:fill="auto"/>
            <w:vAlign w:val="bottom"/>
          </w:tcPr>
          <w:p>
            <w:pPr>
              <w:jc w:val="center"/>
              <w:rPr>
                <w:rFonts w:ascii="宋体" w:hAnsi="宋体" w:cs="宋体"/>
              </w:rPr>
            </w:pPr>
            <w:r>
              <w:rPr>
                <w:rFonts w:hint="eastAsia"/>
              </w:rPr>
              <w:t>REF电极</w:t>
            </w:r>
          </w:p>
        </w:tc>
        <w:tc>
          <w:tcPr>
            <w:tcW w:w="1571" w:type="dxa"/>
            <w:shd w:val="clear" w:color="auto" w:fill="auto"/>
            <w:vAlign w:val="bottom"/>
          </w:tcPr>
          <w:p>
            <w:pPr>
              <w:jc w:val="center"/>
              <w:rPr>
                <w:rFonts w:ascii="宋体" w:hAnsi="宋体" w:cs="宋体"/>
              </w:rPr>
            </w:pPr>
            <w:r>
              <w:rPr>
                <w:rFonts w:hint="eastAsia"/>
              </w:rPr>
              <w:t>　</w:t>
            </w:r>
          </w:p>
        </w:tc>
        <w:tc>
          <w:tcPr>
            <w:tcW w:w="1005" w:type="dxa"/>
            <w:shd w:val="clear" w:color="auto" w:fill="auto"/>
            <w:vAlign w:val="bottom"/>
          </w:tcPr>
          <w:p>
            <w:pPr>
              <w:jc w:val="center"/>
              <w:rPr>
                <w:rFonts w:ascii="宋体" w:hAnsi="宋体" w:cs="宋体"/>
              </w:rPr>
            </w:pPr>
            <w:r>
              <w:rPr>
                <w:rFonts w:hint="eastAsia"/>
              </w:rPr>
              <w:t>个</w:t>
            </w:r>
          </w:p>
        </w:tc>
        <w:tc>
          <w:tcPr>
            <w:tcW w:w="1612" w:type="dxa"/>
            <w:shd w:val="clear" w:color="auto" w:fill="auto"/>
            <w:vAlign w:val="bottom"/>
          </w:tcPr>
          <w:p>
            <w:pPr>
              <w:jc w:val="center"/>
              <w:rPr>
                <w:rFonts w:ascii="宋体" w:hAnsi="宋体" w:cs="宋体"/>
              </w:rPr>
            </w:pPr>
            <w:r>
              <w:rPr>
                <w:rFonts w:hint="eastAsia"/>
              </w:rPr>
              <w:t>4831.2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60</w:t>
            </w:r>
          </w:p>
        </w:tc>
        <w:tc>
          <w:tcPr>
            <w:tcW w:w="4820" w:type="dxa"/>
            <w:shd w:val="clear" w:color="auto" w:fill="auto"/>
            <w:vAlign w:val="center"/>
          </w:tcPr>
          <w:p>
            <w:pPr>
              <w:jc w:val="center"/>
              <w:rPr>
                <w:rFonts w:ascii="宋体" w:hAnsi="宋体" w:cs="宋体"/>
                <w:color w:val="000000"/>
              </w:rPr>
            </w:pPr>
            <w:r>
              <w:rPr>
                <w:rFonts w:hint="eastAsia"/>
                <w:color w:val="000000"/>
              </w:rPr>
              <w:t>电解质浓度定量测定参比液</w:t>
            </w:r>
          </w:p>
        </w:tc>
        <w:tc>
          <w:tcPr>
            <w:tcW w:w="1571" w:type="dxa"/>
            <w:shd w:val="clear" w:color="auto" w:fill="auto"/>
            <w:vAlign w:val="center"/>
          </w:tcPr>
          <w:p>
            <w:pPr>
              <w:jc w:val="center"/>
              <w:rPr>
                <w:rFonts w:ascii="宋体" w:hAnsi="宋体" w:cs="宋体"/>
                <w:color w:val="000000"/>
              </w:rPr>
            </w:pPr>
            <w:r>
              <w:rPr>
                <w:rFonts w:hint="eastAsia"/>
                <w:color w:val="000000"/>
              </w:rPr>
              <w:t>2L</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center"/>
          </w:tcPr>
          <w:p>
            <w:pPr>
              <w:jc w:val="center"/>
              <w:rPr>
                <w:rFonts w:ascii="宋体" w:hAnsi="宋体" w:cs="宋体"/>
                <w:color w:val="000000"/>
              </w:rPr>
            </w:pPr>
            <w:r>
              <w:rPr>
                <w:rFonts w:hint="eastAsia"/>
                <w:color w:val="000000"/>
              </w:rPr>
              <w:t>2178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61</w:t>
            </w:r>
          </w:p>
        </w:tc>
        <w:tc>
          <w:tcPr>
            <w:tcW w:w="4820" w:type="dxa"/>
            <w:shd w:val="clear" w:color="auto" w:fill="auto"/>
            <w:vAlign w:val="center"/>
          </w:tcPr>
          <w:p>
            <w:pPr>
              <w:jc w:val="center"/>
              <w:rPr>
                <w:rFonts w:ascii="宋体" w:hAnsi="宋体" w:cs="宋体"/>
                <w:color w:val="000000"/>
              </w:rPr>
            </w:pPr>
            <w:r>
              <w:rPr>
                <w:rFonts w:hint="eastAsia"/>
                <w:color w:val="000000"/>
              </w:rPr>
              <w:t>电解质浓度定量测定内标液</w:t>
            </w:r>
          </w:p>
        </w:tc>
        <w:tc>
          <w:tcPr>
            <w:tcW w:w="1571" w:type="dxa"/>
            <w:shd w:val="clear" w:color="auto" w:fill="auto"/>
            <w:vAlign w:val="center"/>
          </w:tcPr>
          <w:p>
            <w:pPr>
              <w:jc w:val="center"/>
              <w:rPr>
                <w:rFonts w:ascii="宋体" w:hAnsi="宋体" w:cs="宋体"/>
                <w:color w:val="000000"/>
              </w:rPr>
            </w:pPr>
            <w:r>
              <w:rPr>
                <w:rFonts w:hint="eastAsia"/>
                <w:color w:val="000000"/>
              </w:rPr>
              <w:t>2L</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center"/>
          </w:tcPr>
          <w:p>
            <w:pPr>
              <w:jc w:val="center"/>
              <w:rPr>
                <w:rFonts w:ascii="宋体" w:hAnsi="宋体" w:cs="宋体"/>
                <w:color w:val="000000"/>
              </w:rPr>
            </w:pPr>
            <w:r>
              <w:rPr>
                <w:rFonts w:hint="eastAsia"/>
                <w:color w:val="000000"/>
              </w:rPr>
              <w:t>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62</w:t>
            </w:r>
          </w:p>
        </w:tc>
        <w:tc>
          <w:tcPr>
            <w:tcW w:w="4820" w:type="dxa"/>
            <w:shd w:val="clear" w:color="auto" w:fill="auto"/>
            <w:vAlign w:val="center"/>
          </w:tcPr>
          <w:p>
            <w:pPr>
              <w:jc w:val="center"/>
              <w:rPr>
                <w:rFonts w:ascii="宋体" w:hAnsi="宋体" w:cs="宋体"/>
                <w:color w:val="000000"/>
              </w:rPr>
            </w:pPr>
            <w:r>
              <w:rPr>
                <w:rFonts w:hint="eastAsia"/>
                <w:color w:val="000000"/>
              </w:rPr>
              <w:t>电解质浓度定量测定稀释液</w:t>
            </w:r>
          </w:p>
        </w:tc>
        <w:tc>
          <w:tcPr>
            <w:tcW w:w="1571" w:type="dxa"/>
            <w:shd w:val="clear" w:color="auto" w:fill="auto"/>
            <w:vAlign w:val="center"/>
          </w:tcPr>
          <w:p>
            <w:pPr>
              <w:jc w:val="center"/>
              <w:rPr>
                <w:rFonts w:ascii="宋体" w:hAnsi="宋体" w:cs="宋体"/>
                <w:color w:val="000000"/>
              </w:rPr>
            </w:pPr>
            <w:r>
              <w:rPr>
                <w:rFonts w:hint="eastAsia"/>
                <w:color w:val="000000"/>
              </w:rPr>
              <w:t>2L</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center"/>
          </w:tcPr>
          <w:p>
            <w:pPr>
              <w:jc w:val="center"/>
              <w:rPr>
                <w:rFonts w:ascii="宋体" w:hAnsi="宋体" w:cs="宋体"/>
                <w:color w:val="000000"/>
              </w:rPr>
            </w:pPr>
            <w:r>
              <w:rPr>
                <w:rFonts w:hint="eastAsia"/>
                <w:color w:val="000000"/>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63</w:t>
            </w:r>
          </w:p>
        </w:tc>
        <w:tc>
          <w:tcPr>
            <w:tcW w:w="4820" w:type="dxa"/>
            <w:shd w:val="clear" w:color="auto" w:fill="auto"/>
            <w:vAlign w:val="bottom"/>
          </w:tcPr>
          <w:p>
            <w:pPr>
              <w:jc w:val="center"/>
              <w:rPr>
                <w:rFonts w:ascii="宋体" w:hAnsi="宋体" w:cs="宋体"/>
              </w:rPr>
            </w:pPr>
            <w:r>
              <w:rPr>
                <w:rFonts w:hint="eastAsia"/>
              </w:rPr>
              <w:t>抗菌无磷清洗液</w:t>
            </w:r>
          </w:p>
        </w:tc>
        <w:tc>
          <w:tcPr>
            <w:tcW w:w="1571" w:type="dxa"/>
            <w:shd w:val="clear" w:color="auto" w:fill="auto"/>
            <w:vAlign w:val="bottom"/>
          </w:tcPr>
          <w:p>
            <w:pPr>
              <w:jc w:val="center"/>
              <w:rPr>
                <w:rFonts w:ascii="宋体" w:hAnsi="宋体" w:cs="宋体"/>
              </w:rPr>
            </w:pPr>
            <w:r>
              <w:rPr>
                <w:rFonts w:hint="eastAsia"/>
              </w:rPr>
              <w:t>500ml/瓶</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bottom"/>
          </w:tcPr>
          <w:p>
            <w:pPr>
              <w:jc w:val="center"/>
              <w:rPr>
                <w:rFonts w:ascii="宋体" w:hAnsi="宋体" w:cs="宋体"/>
              </w:rPr>
            </w:pPr>
            <w:r>
              <w:rPr>
                <w:rFonts w:hint="eastAsia"/>
              </w:rPr>
              <w:t>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64</w:t>
            </w:r>
          </w:p>
        </w:tc>
        <w:tc>
          <w:tcPr>
            <w:tcW w:w="4820" w:type="dxa"/>
            <w:shd w:val="clear" w:color="auto" w:fill="auto"/>
            <w:vAlign w:val="bottom"/>
          </w:tcPr>
          <w:p>
            <w:pPr>
              <w:jc w:val="center"/>
              <w:rPr>
                <w:rFonts w:ascii="宋体" w:hAnsi="宋体" w:cs="宋体"/>
              </w:rPr>
            </w:pPr>
            <w:r>
              <w:rPr>
                <w:rFonts w:hint="eastAsia"/>
              </w:rPr>
              <w:t>碱洗液</w:t>
            </w:r>
          </w:p>
        </w:tc>
        <w:tc>
          <w:tcPr>
            <w:tcW w:w="1571" w:type="dxa"/>
            <w:shd w:val="clear" w:color="auto" w:fill="auto"/>
            <w:vAlign w:val="bottom"/>
          </w:tcPr>
          <w:p>
            <w:pPr>
              <w:jc w:val="center"/>
              <w:rPr>
                <w:rFonts w:ascii="宋体" w:hAnsi="宋体" w:cs="宋体"/>
              </w:rPr>
            </w:pPr>
            <w:r>
              <w:rPr>
                <w:rFonts w:hint="eastAsia"/>
              </w:rPr>
              <w:t>500ml/瓶</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bottom"/>
          </w:tcPr>
          <w:p>
            <w:pPr>
              <w:jc w:val="center"/>
              <w:rPr>
                <w:rFonts w:ascii="宋体" w:hAnsi="宋体" w:cs="宋体"/>
              </w:rPr>
            </w:pPr>
            <w:r>
              <w:rPr>
                <w:rFonts w:hint="eastAsia"/>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65</w:t>
            </w:r>
          </w:p>
        </w:tc>
        <w:tc>
          <w:tcPr>
            <w:tcW w:w="4820" w:type="dxa"/>
            <w:shd w:val="clear" w:color="auto" w:fill="auto"/>
            <w:vAlign w:val="bottom"/>
          </w:tcPr>
          <w:p>
            <w:pPr>
              <w:jc w:val="center"/>
              <w:rPr>
                <w:rFonts w:ascii="宋体" w:hAnsi="宋体" w:cs="宋体"/>
              </w:rPr>
            </w:pPr>
            <w:r>
              <w:rPr>
                <w:rFonts w:hint="eastAsia"/>
              </w:rPr>
              <w:t>酸洗液</w:t>
            </w:r>
          </w:p>
        </w:tc>
        <w:tc>
          <w:tcPr>
            <w:tcW w:w="1571" w:type="dxa"/>
            <w:shd w:val="clear" w:color="auto" w:fill="auto"/>
            <w:vAlign w:val="bottom"/>
          </w:tcPr>
          <w:p>
            <w:pPr>
              <w:jc w:val="center"/>
              <w:rPr>
                <w:rFonts w:ascii="宋体" w:hAnsi="宋体" w:cs="宋体"/>
              </w:rPr>
            </w:pPr>
            <w:r>
              <w:rPr>
                <w:rFonts w:hint="eastAsia"/>
              </w:rPr>
              <w:t>500ml/瓶</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bottom"/>
          </w:tcPr>
          <w:p>
            <w:pPr>
              <w:jc w:val="center"/>
              <w:rPr>
                <w:rFonts w:ascii="宋体" w:hAnsi="宋体" w:cs="宋体"/>
              </w:rPr>
            </w:pPr>
            <w:r>
              <w:rPr>
                <w:rFonts w:hint="eastAsia"/>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66</w:t>
            </w:r>
          </w:p>
        </w:tc>
        <w:tc>
          <w:tcPr>
            <w:tcW w:w="4820" w:type="dxa"/>
            <w:shd w:val="clear" w:color="auto" w:fill="auto"/>
            <w:vAlign w:val="center"/>
          </w:tcPr>
          <w:p>
            <w:pPr>
              <w:jc w:val="center"/>
              <w:rPr>
                <w:rFonts w:ascii="宋体" w:hAnsi="宋体" w:cs="宋体"/>
              </w:rPr>
            </w:pPr>
            <w:r>
              <w:rPr>
                <w:rFonts w:hint="eastAsia"/>
              </w:rPr>
              <w:t>CS-碱性清洗液（适用于CS1600/6400）</w:t>
            </w:r>
          </w:p>
        </w:tc>
        <w:tc>
          <w:tcPr>
            <w:tcW w:w="1571" w:type="dxa"/>
            <w:shd w:val="clear" w:color="auto" w:fill="auto"/>
            <w:vAlign w:val="bottom"/>
          </w:tcPr>
          <w:p>
            <w:pPr>
              <w:jc w:val="center"/>
              <w:rPr>
                <w:rFonts w:ascii="宋体" w:hAnsi="宋体" w:cs="宋体"/>
              </w:rPr>
            </w:pPr>
            <w:r>
              <w:rPr>
                <w:rFonts w:hint="eastAsia"/>
              </w:rPr>
              <w:t>5L</w:t>
            </w:r>
          </w:p>
        </w:tc>
        <w:tc>
          <w:tcPr>
            <w:tcW w:w="1005" w:type="dxa"/>
            <w:shd w:val="clear" w:color="auto" w:fill="auto"/>
            <w:vAlign w:val="bottom"/>
          </w:tcPr>
          <w:p>
            <w:pPr>
              <w:jc w:val="center"/>
              <w:rPr>
                <w:rFonts w:ascii="宋体" w:hAnsi="宋体" w:cs="宋体"/>
              </w:rPr>
            </w:pPr>
            <w:r>
              <w:rPr>
                <w:rFonts w:hint="eastAsia"/>
              </w:rPr>
              <w:t>桶</w:t>
            </w:r>
          </w:p>
        </w:tc>
        <w:tc>
          <w:tcPr>
            <w:tcW w:w="1612" w:type="dxa"/>
            <w:shd w:val="clear" w:color="auto" w:fill="auto"/>
            <w:vAlign w:val="bottom"/>
          </w:tcPr>
          <w:p>
            <w:pPr>
              <w:jc w:val="center"/>
              <w:rPr>
                <w:rFonts w:ascii="宋体" w:hAnsi="宋体" w:cs="宋体"/>
              </w:rPr>
            </w:pPr>
            <w:r>
              <w:rPr>
                <w:rFonts w:hint="eastAsia"/>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7" w:type="dxa"/>
            <w:shd w:val="clear" w:color="auto" w:fill="auto"/>
            <w:vAlign w:val="center"/>
          </w:tcPr>
          <w:p>
            <w:pPr>
              <w:widowControl/>
              <w:jc w:val="center"/>
              <w:rPr>
                <w:rFonts w:hint="eastAsia" w:ascii="宋体" w:hAnsi="宋体" w:cs="宋体"/>
                <w:kern w:val="0"/>
              </w:rPr>
            </w:pPr>
            <w:r>
              <w:rPr>
                <w:rFonts w:hint="eastAsia" w:ascii="宋体" w:hAnsi="宋体" w:cs="宋体"/>
                <w:kern w:val="0"/>
              </w:rPr>
              <w:t>67</w:t>
            </w:r>
          </w:p>
        </w:tc>
        <w:tc>
          <w:tcPr>
            <w:tcW w:w="4820" w:type="dxa"/>
            <w:shd w:val="clear" w:color="auto" w:fill="auto"/>
            <w:vAlign w:val="bottom"/>
          </w:tcPr>
          <w:p>
            <w:pPr>
              <w:jc w:val="center"/>
              <w:rPr>
                <w:rFonts w:ascii="宋体" w:hAnsi="宋体" w:cs="宋体"/>
              </w:rPr>
            </w:pPr>
            <w:r>
              <w:rPr>
                <w:rFonts w:hint="eastAsia"/>
              </w:rPr>
              <w:t>CS-ISE 清洗液</w:t>
            </w:r>
          </w:p>
        </w:tc>
        <w:tc>
          <w:tcPr>
            <w:tcW w:w="1571" w:type="dxa"/>
            <w:shd w:val="clear" w:color="auto" w:fill="auto"/>
            <w:vAlign w:val="bottom"/>
          </w:tcPr>
          <w:p>
            <w:pPr>
              <w:jc w:val="center"/>
              <w:rPr>
                <w:rFonts w:ascii="宋体" w:hAnsi="宋体" w:cs="宋体"/>
              </w:rPr>
            </w:pPr>
            <w:r>
              <w:rPr>
                <w:rFonts w:hint="eastAsia"/>
              </w:rPr>
              <w:t>100ml/瓶</w:t>
            </w:r>
          </w:p>
        </w:tc>
        <w:tc>
          <w:tcPr>
            <w:tcW w:w="1005" w:type="dxa"/>
            <w:shd w:val="clear" w:color="auto" w:fill="auto"/>
            <w:vAlign w:val="bottom"/>
          </w:tcPr>
          <w:p>
            <w:pPr>
              <w:jc w:val="center"/>
              <w:rPr>
                <w:rFonts w:ascii="宋体" w:hAnsi="宋体" w:cs="宋体"/>
              </w:rPr>
            </w:pPr>
            <w:r>
              <w:rPr>
                <w:rFonts w:hint="eastAsia"/>
              </w:rPr>
              <w:t>瓶</w:t>
            </w:r>
          </w:p>
        </w:tc>
        <w:tc>
          <w:tcPr>
            <w:tcW w:w="1612" w:type="dxa"/>
            <w:shd w:val="clear" w:color="auto" w:fill="auto"/>
            <w:vAlign w:val="bottom"/>
          </w:tcPr>
          <w:p>
            <w:pPr>
              <w:jc w:val="center"/>
              <w:rPr>
                <w:rFonts w:ascii="宋体" w:hAnsi="宋体" w:cs="宋体"/>
              </w:rPr>
            </w:pPr>
            <w:r>
              <w:rPr>
                <w:rFonts w:hint="eastAsia"/>
              </w:rPr>
              <w:t>198</w:t>
            </w:r>
          </w:p>
        </w:tc>
      </w:tr>
    </w:tbl>
    <w:p>
      <w:pPr>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采用单一来源采购方式的原因及说明：</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梅里埃微生物鉴定和药敏分析仪所使用的配套试剂为专机专用；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日立7180全自动生化分析仪使用的试剂为专机专用。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雅培C8000生化分析仪使用的试剂为专机专用。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武汉泓源水机使用的试剂为专机专用。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希森美康血细胞分析仪使用的试剂为专机专用。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北京现代沃尔血气分析仪使用的试剂为专机专用。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春曼特诺尿11项分析仪US500使用的试剂为专机专用。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迪瑞仪器CS-1600使用的试剂为专机专用。</w:t>
      </w:r>
    </w:p>
    <w:p>
      <w:pPr>
        <w:numPr>
          <w:ilvl w:val="0"/>
          <w:numId w:val="1"/>
        </w:numPr>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以上品牌试剂其他品牌无法替代，上述厂家授权大庆鑫永康医疗器械经销有限公司为大庆市第五医院销售代理。故，采用单一来源方式采购。</w:t>
      </w:r>
    </w:p>
    <w:p>
      <w:pPr>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二、拟定供应商信息</w:t>
      </w:r>
    </w:p>
    <w:p>
      <w:pPr>
        <w:ind w:firstLine="560" w:firstLineChars="200"/>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名称：大庆鑫永康医疗器械经销有限公司</w:t>
      </w:r>
    </w:p>
    <w:p>
      <w:pPr>
        <w:ind w:left="1399" w:leftChars="266" w:hanging="840" w:hangingChars="300"/>
        <w:rPr>
          <w:rFonts w:hint="eastAsia" w:ascii="宋体" w:hAnsi="宋体" w:eastAsia="宋体" w:cs="宋体"/>
          <w:color w:val="000000" w:themeColor="text1"/>
          <w:sz w:val="28"/>
          <w:szCs w:val="28"/>
          <w:u w:val="single"/>
        </w:rPr>
      </w:pPr>
      <w:r>
        <w:rPr>
          <w:rFonts w:hint="eastAsia" w:ascii="宋体" w:hAnsi="宋体" w:eastAsia="宋体" w:cs="宋体"/>
          <w:color w:val="000000" w:themeColor="text1"/>
          <w:sz w:val="28"/>
          <w:szCs w:val="28"/>
          <w:u w:val="single"/>
        </w:rPr>
        <w:t>地址：黑龙江省大庆市红岗区萨大路西侧商服楼3-18号</w:t>
      </w:r>
    </w:p>
    <w:p>
      <w:pPr>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三、公示期限</w:t>
      </w:r>
    </w:p>
    <w:p>
      <w:pPr>
        <w:pStyle w:val="32"/>
        <w:ind w:left="-10" w:leftChars="-5" w:firstLine="560"/>
        <w:rPr>
          <w:rFonts w:hint="eastAsia" w:ascii="宋体" w:hAnsi="宋体" w:eastAsia="宋体" w:cs="宋体"/>
          <w:color w:val="000000" w:themeColor="text1"/>
          <w:sz w:val="28"/>
          <w:szCs w:val="28"/>
        </w:rPr>
      </w:pPr>
      <w:r>
        <w:rPr>
          <w:rFonts w:hint="eastAsia" w:ascii="宋体" w:hAnsi="宋体" w:cs="宋体"/>
          <w:color w:val="000000" w:themeColor="text1"/>
          <w:sz w:val="28"/>
          <w:szCs w:val="28"/>
          <w:u w:val="single"/>
          <w:lang w:val="en-US" w:eastAsia="zh-CN"/>
        </w:rPr>
        <w:t>2022</w:t>
      </w:r>
      <w:r>
        <w:rPr>
          <w:rFonts w:hint="eastAsia" w:ascii="宋体" w:hAnsi="宋体" w:eastAsia="宋体" w:cs="宋体"/>
          <w:color w:val="000000" w:themeColor="text1"/>
          <w:sz w:val="28"/>
          <w:szCs w:val="28"/>
          <w:u w:val="single"/>
        </w:rPr>
        <w:t>年</w:t>
      </w:r>
      <w:r>
        <w:rPr>
          <w:rFonts w:hint="eastAsia" w:ascii="宋体" w:hAnsi="宋体" w:cs="宋体"/>
          <w:color w:val="000000" w:themeColor="text1"/>
          <w:sz w:val="28"/>
          <w:szCs w:val="28"/>
          <w:u w:val="single"/>
          <w:lang w:val="en-US" w:eastAsia="zh-CN"/>
        </w:rPr>
        <w:t>01</w:t>
      </w:r>
      <w:r>
        <w:rPr>
          <w:rFonts w:hint="eastAsia" w:ascii="宋体" w:hAnsi="宋体" w:eastAsia="宋体" w:cs="宋体"/>
          <w:color w:val="000000" w:themeColor="text1"/>
          <w:sz w:val="28"/>
          <w:szCs w:val="28"/>
          <w:u w:val="single"/>
        </w:rPr>
        <w:t>月</w:t>
      </w:r>
      <w:r>
        <w:rPr>
          <w:rFonts w:hint="eastAsia" w:ascii="宋体" w:hAnsi="宋体" w:cs="宋体"/>
          <w:color w:val="000000" w:themeColor="text1"/>
          <w:sz w:val="28"/>
          <w:szCs w:val="28"/>
          <w:u w:val="single"/>
          <w:lang w:val="en-US" w:eastAsia="zh-CN"/>
        </w:rPr>
        <w:t>06</w:t>
      </w:r>
      <w:r>
        <w:rPr>
          <w:rFonts w:hint="eastAsia" w:ascii="宋体" w:hAnsi="宋体" w:eastAsia="宋体" w:cs="宋体"/>
          <w:color w:val="000000" w:themeColor="text1"/>
          <w:sz w:val="28"/>
          <w:szCs w:val="28"/>
          <w:u w:val="single"/>
        </w:rPr>
        <w:t xml:space="preserve">日  </w:t>
      </w:r>
      <w:r>
        <w:rPr>
          <w:rFonts w:hint="eastAsia" w:ascii="宋体" w:hAnsi="宋体" w:eastAsia="宋体" w:cs="宋体"/>
          <w:color w:val="000000" w:themeColor="text1"/>
          <w:sz w:val="28"/>
          <w:szCs w:val="28"/>
        </w:rPr>
        <w:t>至</w:t>
      </w:r>
      <w:r>
        <w:rPr>
          <w:rFonts w:hint="eastAsia" w:ascii="宋体" w:hAnsi="宋体" w:cs="宋体"/>
          <w:color w:val="000000" w:themeColor="text1"/>
          <w:sz w:val="28"/>
          <w:szCs w:val="28"/>
          <w:u w:val="single"/>
          <w:lang w:val="en-US" w:eastAsia="zh-CN"/>
        </w:rPr>
        <w:t>2022</w:t>
      </w:r>
      <w:r>
        <w:rPr>
          <w:rFonts w:hint="eastAsia" w:ascii="宋体" w:hAnsi="宋体" w:eastAsia="宋体" w:cs="宋体"/>
          <w:color w:val="000000" w:themeColor="text1"/>
          <w:sz w:val="28"/>
          <w:szCs w:val="28"/>
          <w:u w:val="single"/>
        </w:rPr>
        <w:t>年</w:t>
      </w:r>
      <w:r>
        <w:rPr>
          <w:rFonts w:hint="eastAsia" w:ascii="宋体" w:hAnsi="宋体" w:cs="宋体"/>
          <w:color w:val="000000" w:themeColor="text1"/>
          <w:sz w:val="28"/>
          <w:szCs w:val="28"/>
          <w:u w:val="single"/>
          <w:lang w:val="en-US" w:eastAsia="zh-CN"/>
        </w:rPr>
        <w:t>01</w:t>
      </w:r>
      <w:r>
        <w:rPr>
          <w:rFonts w:hint="eastAsia" w:ascii="宋体" w:hAnsi="宋体" w:eastAsia="宋体" w:cs="宋体"/>
          <w:color w:val="000000" w:themeColor="text1"/>
          <w:sz w:val="28"/>
          <w:szCs w:val="28"/>
          <w:u w:val="single"/>
        </w:rPr>
        <w:t>月</w:t>
      </w:r>
      <w:r>
        <w:rPr>
          <w:rFonts w:hint="eastAsia" w:ascii="宋体" w:hAnsi="宋体" w:cs="宋体"/>
          <w:color w:val="000000" w:themeColor="text1"/>
          <w:sz w:val="28"/>
          <w:szCs w:val="28"/>
          <w:u w:val="single"/>
          <w:lang w:val="en-US" w:eastAsia="zh-CN"/>
        </w:rPr>
        <w:t>12</w:t>
      </w:r>
      <w:r>
        <w:rPr>
          <w:rFonts w:hint="eastAsia" w:ascii="宋体" w:hAnsi="宋体" w:eastAsia="宋体" w:cs="宋体"/>
          <w:color w:val="000000" w:themeColor="text1"/>
          <w:sz w:val="28"/>
          <w:szCs w:val="28"/>
          <w:u w:val="single"/>
        </w:rPr>
        <w:t>日</w:t>
      </w:r>
      <w:r>
        <w:rPr>
          <w:rFonts w:hint="eastAsia" w:ascii="宋体" w:hAnsi="宋体" w:eastAsia="宋体" w:cs="宋体"/>
          <w:iCs/>
          <w:color w:val="000000" w:themeColor="text1"/>
          <w:sz w:val="28"/>
          <w:szCs w:val="28"/>
          <w:u w:val="single"/>
        </w:rPr>
        <w:t>（</w:t>
      </w:r>
      <w:r>
        <w:rPr>
          <w:rFonts w:hint="eastAsia" w:ascii="宋体" w:hAnsi="宋体" w:eastAsia="宋体" w:cs="宋体"/>
          <w:i/>
          <w:color w:val="000000" w:themeColor="text1"/>
          <w:sz w:val="28"/>
          <w:szCs w:val="28"/>
          <w:u w:val="single"/>
        </w:rPr>
        <w:t>公示期限不得少于5个工作日</w:t>
      </w:r>
      <w:r>
        <w:rPr>
          <w:rFonts w:hint="eastAsia" w:ascii="宋体" w:hAnsi="宋体" w:eastAsia="宋体" w:cs="宋体"/>
          <w:iCs/>
          <w:color w:val="000000" w:themeColor="text1"/>
          <w:sz w:val="28"/>
          <w:szCs w:val="28"/>
          <w:u w:val="single"/>
        </w:rPr>
        <w:t>）</w:t>
      </w:r>
    </w:p>
    <w:p>
      <w:pPr>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四、其他补充事宜：无</w:t>
      </w:r>
    </w:p>
    <w:p>
      <w:pPr>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五、联系方式</w:t>
      </w:r>
    </w:p>
    <w:p>
      <w:pPr>
        <w:ind w:firstLine="565" w:firstLineChars="202"/>
        <w:rPr>
          <w:rFonts w:ascii="宋体" w:hAnsi="宋体" w:cs="宋体"/>
          <w:sz w:val="28"/>
          <w:szCs w:val="28"/>
        </w:rPr>
      </w:pPr>
      <w:r>
        <w:rPr>
          <w:rFonts w:hint="eastAsia" w:ascii="宋体" w:hAnsi="宋体" w:cs="宋体"/>
          <w:sz w:val="28"/>
          <w:szCs w:val="28"/>
          <w:lang w:val="en-US" w:eastAsia="zh-CN"/>
        </w:rPr>
        <w:t>1、</w:t>
      </w:r>
      <w:r>
        <w:rPr>
          <w:rFonts w:hint="eastAsia" w:ascii="宋体" w:hAnsi="宋体" w:cs="宋体"/>
          <w:sz w:val="28"/>
          <w:szCs w:val="28"/>
        </w:rPr>
        <w:t>采购人</w:t>
      </w:r>
    </w:p>
    <w:p>
      <w:pPr>
        <w:ind w:firstLine="565" w:firstLineChars="202"/>
        <w:rPr>
          <w:rFonts w:hint="default" w:ascii="宋体" w:hAnsi="宋体" w:eastAsia="宋体" w:cs="宋体"/>
          <w:sz w:val="28"/>
          <w:szCs w:val="28"/>
          <w:lang w:val="en-US" w:eastAsia="zh-CN"/>
        </w:rPr>
      </w:pPr>
      <w:r>
        <w:rPr>
          <w:rFonts w:hint="eastAsia" w:ascii="宋体" w:hAnsi="宋体" w:cs="宋体"/>
          <w:sz w:val="28"/>
          <w:szCs w:val="28"/>
          <w:lang w:eastAsia="zh-CN"/>
        </w:rPr>
        <w:t>部</w:t>
      </w:r>
      <w:r>
        <w:rPr>
          <w:rFonts w:hint="eastAsia" w:ascii="宋体" w:hAnsi="宋体" w:cs="宋体"/>
          <w:sz w:val="28"/>
          <w:szCs w:val="28"/>
          <w:lang w:val="en-US" w:eastAsia="zh-CN"/>
        </w:rPr>
        <w:t xml:space="preserve">   </w:t>
      </w:r>
      <w:r>
        <w:rPr>
          <w:rFonts w:hint="eastAsia" w:ascii="宋体" w:hAnsi="宋体" w:cs="宋体"/>
          <w:sz w:val="28"/>
          <w:szCs w:val="28"/>
          <w:lang w:eastAsia="zh-CN"/>
        </w:rPr>
        <w:t>门：</w:t>
      </w:r>
      <w:r>
        <w:rPr>
          <w:rFonts w:hint="eastAsia" w:ascii="宋体" w:hAnsi="宋体" w:cs="宋体"/>
          <w:sz w:val="28"/>
          <w:szCs w:val="28"/>
          <w:u w:val="single"/>
          <w:lang w:val="en-US" w:eastAsia="zh-CN"/>
        </w:rPr>
        <w:t xml:space="preserve">  物</w:t>
      </w:r>
      <w:r>
        <w:rPr>
          <w:rFonts w:hint="eastAsia" w:ascii="宋体" w:hAnsi="宋体" w:cs="宋体"/>
          <w:sz w:val="28"/>
          <w:szCs w:val="28"/>
          <w:u w:val="single"/>
          <w:lang w:eastAsia="zh-CN"/>
        </w:rPr>
        <w:t>资供应站</w:t>
      </w:r>
      <w:r>
        <w:rPr>
          <w:rFonts w:hint="eastAsia" w:ascii="宋体" w:hAnsi="宋体" w:cs="宋体"/>
          <w:sz w:val="28"/>
          <w:szCs w:val="28"/>
          <w:u w:val="single"/>
          <w:lang w:val="en-US" w:eastAsia="zh-CN"/>
        </w:rPr>
        <w:t xml:space="preserve">  </w:t>
      </w:r>
    </w:p>
    <w:p>
      <w:pPr>
        <w:ind w:firstLine="565" w:firstLineChars="202"/>
        <w:rPr>
          <w:rFonts w:ascii="宋体" w:hAnsi="宋体" w:cs="宋体"/>
          <w:sz w:val="28"/>
          <w:szCs w:val="28"/>
        </w:rPr>
      </w:pPr>
      <w:r>
        <w:rPr>
          <w:rFonts w:hint="eastAsia" w:ascii="宋体" w:hAnsi="宋体" w:cs="宋体"/>
          <w:sz w:val="28"/>
          <w:szCs w:val="28"/>
        </w:rPr>
        <w:t>联 系 人：</w:t>
      </w:r>
      <w:r>
        <w:rPr>
          <w:rFonts w:hint="eastAsia" w:ascii="宋体" w:hAnsi="宋体" w:cs="宋体"/>
          <w:sz w:val="28"/>
          <w:szCs w:val="28"/>
          <w:u w:val="single"/>
        </w:rPr>
        <w:t>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吕嘉诚　　</w:t>
      </w:r>
    </w:p>
    <w:p>
      <w:pPr>
        <w:ind w:firstLine="565" w:firstLineChars="202"/>
        <w:rPr>
          <w:rFonts w:ascii="宋体" w:hAnsi="宋体" w:cs="宋体"/>
          <w:sz w:val="28"/>
          <w:szCs w:val="28"/>
        </w:rPr>
      </w:pPr>
      <w:r>
        <w:rPr>
          <w:rFonts w:hint="eastAsia" w:ascii="宋体" w:hAnsi="宋体" w:cs="宋体"/>
          <w:sz w:val="28"/>
          <w:szCs w:val="28"/>
        </w:rPr>
        <w:t>联系地址：</w:t>
      </w:r>
      <w:r>
        <w:rPr>
          <w:rFonts w:hint="eastAsia" w:ascii="宋体" w:hAnsi="宋体" w:cs="宋体"/>
          <w:sz w:val="28"/>
          <w:szCs w:val="28"/>
          <w:u w:val="single"/>
        </w:rPr>
        <w:t>　大庆市龙凤区乙烯兴化北街122号　　</w:t>
      </w:r>
    </w:p>
    <w:p>
      <w:pPr>
        <w:ind w:firstLine="565" w:firstLineChars="202"/>
        <w:rPr>
          <w:rFonts w:ascii="宋体" w:hAnsi="宋体" w:cs="宋体"/>
          <w:sz w:val="28"/>
          <w:szCs w:val="28"/>
        </w:rPr>
      </w:pPr>
      <w:r>
        <w:rPr>
          <w:rFonts w:hint="eastAsia" w:ascii="宋体" w:hAnsi="宋体" w:cs="宋体"/>
          <w:sz w:val="28"/>
          <w:szCs w:val="28"/>
        </w:rPr>
        <w:t>联系电话：</w:t>
      </w:r>
      <w:r>
        <w:rPr>
          <w:rFonts w:hint="eastAsia" w:ascii="宋体" w:hAnsi="宋体" w:cs="宋体"/>
          <w:sz w:val="28"/>
          <w:szCs w:val="28"/>
          <w:u w:val="single"/>
        </w:rPr>
        <w:t>　0459-6915903</w:t>
      </w:r>
    </w:p>
    <w:p>
      <w:pPr>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六、附件</w:t>
      </w:r>
    </w:p>
    <w:p>
      <w:pPr>
        <w:ind w:firstLine="560" w:firstLineChars="200"/>
        <w:rPr>
          <w:rFonts w:hint="eastAsia" w:ascii="宋体" w:hAnsi="宋体" w:eastAsia="宋体" w:cs="宋体"/>
          <w:color w:val="000000" w:themeColor="text1"/>
          <w:sz w:val="28"/>
          <w:szCs w:val="28"/>
        </w:rPr>
      </w:pPr>
      <w:r>
        <w:rPr>
          <w:rFonts w:hint="eastAsia" w:ascii="宋体" w:hAnsi="宋体" w:eastAsia="宋体" w:cs="宋体"/>
          <w:color w:val="000000" w:themeColor="text1"/>
          <w:sz w:val="28"/>
          <w:szCs w:val="28"/>
        </w:rPr>
        <w:t>专业人员论证意见</w:t>
      </w:r>
    </w:p>
    <w:p>
      <w:pPr>
        <w:rPr>
          <w:rFonts w:hint="eastAsia" w:ascii="宋体" w:hAnsi="宋体" w:eastAsia="宋体" w:cs="宋体"/>
          <w:color w:val="000000" w:themeColor="text1"/>
          <w:sz w:val="28"/>
          <w:szCs w:val="28"/>
          <w:lang w:eastAsia="zh-CN"/>
        </w:rPr>
      </w:pP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71770" cy="7284085"/>
                    </a:xfrm>
                    <a:prstGeom prst="rect">
                      <a:avLst/>
                    </a:prstGeom>
                  </pic:spPr>
                </pic:pic>
              </a:graphicData>
            </a:graphic>
          </wp:inline>
        </w:drawing>
      </w: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6"/>
                    <a:stretch>
                      <a:fillRect/>
                    </a:stretch>
                  </pic:blipFill>
                  <pic:spPr>
                    <a:xfrm>
                      <a:off x="0" y="0"/>
                      <a:ext cx="5271770" cy="7284085"/>
                    </a:xfrm>
                    <a:prstGeom prst="rect">
                      <a:avLst/>
                    </a:prstGeom>
                  </pic:spPr>
                </pic:pic>
              </a:graphicData>
            </a:graphic>
          </wp:inline>
        </w:drawing>
      </w: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271770" cy="7284085"/>
                    </a:xfrm>
                    <a:prstGeom prst="rect">
                      <a:avLst/>
                    </a:prstGeom>
                  </pic:spPr>
                </pic:pic>
              </a:graphicData>
            </a:graphic>
          </wp:inline>
        </w:drawing>
      </w: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6" name="图片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
                    <pic:cNvPicPr>
                      <a:picLocks noChangeAspect="1"/>
                    </pic:cNvPicPr>
                  </pic:nvPicPr>
                  <pic:blipFill>
                    <a:blip r:embed="rId8"/>
                    <a:stretch>
                      <a:fillRect/>
                    </a:stretch>
                  </pic:blipFill>
                  <pic:spPr>
                    <a:xfrm>
                      <a:off x="0" y="0"/>
                      <a:ext cx="5271770" cy="7284085"/>
                    </a:xfrm>
                    <a:prstGeom prst="rect">
                      <a:avLst/>
                    </a:prstGeom>
                  </pic:spPr>
                </pic:pic>
              </a:graphicData>
            </a:graphic>
          </wp:inline>
        </w:drawing>
      </w: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9"/>
                    <a:stretch>
                      <a:fillRect/>
                    </a:stretch>
                  </pic:blipFill>
                  <pic:spPr>
                    <a:xfrm>
                      <a:off x="0" y="0"/>
                      <a:ext cx="5271770" cy="7284085"/>
                    </a:xfrm>
                    <a:prstGeom prst="rect">
                      <a:avLst/>
                    </a:prstGeom>
                  </pic:spPr>
                </pic:pic>
              </a:graphicData>
            </a:graphic>
          </wp:inline>
        </w:drawing>
      </w: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7" name="图片 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
                    <pic:cNvPicPr>
                      <a:picLocks noChangeAspect="1"/>
                    </pic:cNvPicPr>
                  </pic:nvPicPr>
                  <pic:blipFill>
                    <a:blip r:embed="rId10"/>
                    <a:stretch>
                      <a:fillRect/>
                    </a:stretch>
                  </pic:blipFill>
                  <pic:spPr>
                    <a:xfrm>
                      <a:off x="0" y="0"/>
                      <a:ext cx="5271770" cy="7284085"/>
                    </a:xfrm>
                    <a:prstGeom prst="rect">
                      <a:avLst/>
                    </a:prstGeom>
                  </pic:spPr>
                </pic:pic>
              </a:graphicData>
            </a:graphic>
          </wp:inline>
        </w:drawing>
      </w:r>
      <w:r>
        <w:rPr>
          <w:rFonts w:hint="eastAsia" w:ascii="宋体" w:hAnsi="宋体" w:eastAsia="宋体" w:cs="宋体"/>
          <w:color w:val="000000" w:themeColor="text1"/>
          <w:sz w:val="28"/>
          <w:szCs w:val="28"/>
          <w:lang w:eastAsia="zh-CN"/>
        </w:rPr>
        <w:drawing>
          <wp:inline distT="0" distB="0" distL="114300" distR="114300">
            <wp:extent cx="5271770" cy="7284085"/>
            <wp:effectExtent l="0" t="0" r="5080" b="12065"/>
            <wp:docPr id="4" name="图片 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
                    <pic:cNvPicPr>
                      <a:picLocks noChangeAspect="1"/>
                    </pic:cNvPicPr>
                  </pic:nvPicPr>
                  <pic:blipFill>
                    <a:blip r:embed="rId11"/>
                    <a:stretch>
                      <a:fillRect/>
                    </a:stretch>
                  </pic:blipFill>
                  <pic:spPr>
                    <a:xfrm>
                      <a:off x="0" y="0"/>
                      <a:ext cx="5271770" cy="7284085"/>
                    </a:xfrm>
                    <a:prstGeom prst="rect">
                      <a:avLst/>
                    </a:prstGeom>
                  </pic:spPr>
                </pic:pic>
              </a:graphicData>
            </a:graphic>
          </wp:inline>
        </w:drawing>
      </w:r>
      <w:bookmarkStart w:id="2" w:name="_GoBack"/>
      <w:bookmarkEnd w:id="2"/>
    </w:p>
    <w:p>
      <w:pPr>
        <w:rPr>
          <w:rFonts w:hint="eastAsia" w:ascii="宋体" w:hAnsi="宋体" w:eastAsia="宋体" w:cs="宋体"/>
          <w:color w:val="000000" w:themeColor="text1"/>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9663037"/>
    </w:sdtPr>
    <w:sdtContent>
      <w:p>
        <w:pPr>
          <w:pStyle w:val="9"/>
          <w:jc w:val="center"/>
        </w:pPr>
        <w:r>
          <w:fldChar w:fldCharType="begin"/>
        </w:r>
        <w:r>
          <w:instrText xml:space="preserve">PAGE   \* MERGEFORMAT</w:instrText>
        </w:r>
        <w:r>
          <w:fldChar w:fldCharType="separate"/>
        </w:r>
        <w:r>
          <w:rPr>
            <w:lang w:val="zh-CN"/>
          </w:rPr>
          <w:t>1</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9DF7B"/>
    <w:multiLevelType w:val="singleLevel"/>
    <w:tmpl w:val="2EB9DF7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44094"/>
    <w:rsid w:val="00000F9A"/>
    <w:rsid w:val="00030AB2"/>
    <w:rsid w:val="000312DE"/>
    <w:rsid w:val="0005737B"/>
    <w:rsid w:val="000726D8"/>
    <w:rsid w:val="000902B7"/>
    <w:rsid w:val="000A41C9"/>
    <w:rsid w:val="000A6769"/>
    <w:rsid w:val="000B0BEC"/>
    <w:rsid w:val="000D3B95"/>
    <w:rsid w:val="000D5040"/>
    <w:rsid w:val="000D6508"/>
    <w:rsid w:val="000E0FB4"/>
    <w:rsid w:val="000F4612"/>
    <w:rsid w:val="00110BD8"/>
    <w:rsid w:val="00125CFB"/>
    <w:rsid w:val="00151C8B"/>
    <w:rsid w:val="00187C50"/>
    <w:rsid w:val="001E495D"/>
    <w:rsid w:val="001F5995"/>
    <w:rsid w:val="00210868"/>
    <w:rsid w:val="0021563E"/>
    <w:rsid w:val="00244094"/>
    <w:rsid w:val="00246690"/>
    <w:rsid w:val="00264EBA"/>
    <w:rsid w:val="002B4C47"/>
    <w:rsid w:val="002F4172"/>
    <w:rsid w:val="00322E12"/>
    <w:rsid w:val="00350BD6"/>
    <w:rsid w:val="00365113"/>
    <w:rsid w:val="003A1074"/>
    <w:rsid w:val="003D04C7"/>
    <w:rsid w:val="00406BD8"/>
    <w:rsid w:val="0041338A"/>
    <w:rsid w:val="00430D5D"/>
    <w:rsid w:val="00436181"/>
    <w:rsid w:val="00445621"/>
    <w:rsid w:val="00452793"/>
    <w:rsid w:val="004B0417"/>
    <w:rsid w:val="004B17B5"/>
    <w:rsid w:val="004C16F7"/>
    <w:rsid w:val="004F0CA3"/>
    <w:rsid w:val="004F449A"/>
    <w:rsid w:val="00553096"/>
    <w:rsid w:val="0055489E"/>
    <w:rsid w:val="00584B9E"/>
    <w:rsid w:val="005902A4"/>
    <w:rsid w:val="00601BCE"/>
    <w:rsid w:val="0062024B"/>
    <w:rsid w:val="0068451F"/>
    <w:rsid w:val="006939FC"/>
    <w:rsid w:val="007100CE"/>
    <w:rsid w:val="00721737"/>
    <w:rsid w:val="00734057"/>
    <w:rsid w:val="00763345"/>
    <w:rsid w:val="00796621"/>
    <w:rsid w:val="0079663A"/>
    <w:rsid w:val="007A7F38"/>
    <w:rsid w:val="007C091A"/>
    <w:rsid w:val="007D2FD7"/>
    <w:rsid w:val="007E2D83"/>
    <w:rsid w:val="0080774A"/>
    <w:rsid w:val="00815C7A"/>
    <w:rsid w:val="00877C6E"/>
    <w:rsid w:val="008974EE"/>
    <w:rsid w:val="008A1192"/>
    <w:rsid w:val="008A2FE7"/>
    <w:rsid w:val="008A7575"/>
    <w:rsid w:val="0090581E"/>
    <w:rsid w:val="00913907"/>
    <w:rsid w:val="00966F02"/>
    <w:rsid w:val="00995D54"/>
    <w:rsid w:val="009A15C7"/>
    <w:rsid w:val="00A23D8B"/>
    <w:rsid w:val="00A26ADF"/>
    <w:rsid w:val="00A30F31"/>
    <w:rsid w:val="00A33583"/>
    <w:rsid w:val="00A3374C"/>
    <w:rsid w:val="00A5366E"/>
    <w:rsid w:val="00AD28F4"/>
    <w:rsid w:val="00AE6A5D"/>
    <w:rsid w:val="00B6699B"/>
    <w:rsid w:val="00BA35CF"/>
    <w:rsid w:val="00BC7602"/>
    <w:rsid w:val="00BD2346"/>
    <w:rsid w:val="00C23BE0"/>
    <w:rsid w:val="00C37A88"/>
    <w:rsid w:val="00C52F06"/>
    <w:rsid w:val="00C61BBE"/>
    <w:rsid w:val="00C65EF3"/>
    <w:rsid w:val="00C94671"/>
    <w:rsid w:val="00C95981"/>
    <w:rsid w:val="00D121D5"/>
    <w:rsid w:val="00D124C3"/>
    <w:rsid w:val="00D24220"/>
    <w:rsid w:val="00D26832"/>
    <w:rsid w:val="00D336FF"/>
    <w:rsid w:val="00D44010"/>
    <w:rsid w:val="00DA7067"/>
    <w:rsid w:val="00DB6B1A"/>
    <w:rsid w:val="00DC09FA"/>
    <w:rsid w:val="00DC1791"/>
    <w:rsid w:val="00DD46A2"/>
    <w:rsid w:val="00E00B88"/>
    <w:rsid w:val="00E457B7"/>
    <w:rsid w:val="00E6467D"/>
    <w:rsid w:val="00E702D6"/>
    <w:rsid w:val="00E75E92"/>
    <w:rsid w:val="00E81373"/>
    <w:rsid w:val="00E82E5B"/>
    <w:rsid w:val="00EC1DE0"/>
    <w:rsid w:val="00ED1908"/>
    <w:rsid w:val="00ED7C2A"/>
    <w:rsid w:val="00EE2D37"/>
    <w:rsid w:val="00EE3266"/>
    <w:rsid w:val="00EF3EBE"/>
    <w:rsid w:val="00F16FD2"/>
    <w:rsid w:val="00F44A37"/>
    <w:rsid w:val="00F53A4B"/>
    <w:rsid w:val="00F676CD"/>
    <w:rsid w:val="00F71369"/>
    <w:rsid w:val="00FE6AB4"/>
    <w:rsid w:val="1FD847ED"/>
    <w:rsid w:val="217C6D52"/>
    <w:rsid w:val="232D789D"/>
    <w:rsid w:val="290113C7"/>
    <w:rsid w:val="33366597"/>
    <w:rsid w:val="43E209AD"/>
    <w:rsid w:val="58B51A1E"/>
    <w:rsid w:val="611E61E0"/>
    <w:rsid w:val="6B712A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qFormat/>
    <w:uiPriority w:val="0"/>
    <w:pPr>
      <w:keepNext/>
      <w:keepLines/>
      <w:spacing w:before="260" w:after="260" w:line="415" w:lineRule="auto"/>
      <w:outlineLvl w:val="1"/>
    </w:pPr>
    <w:rPr>
      <w:rFonts w:ascii="Arial" w:hAnsi="Arial" w:eastAsia="黑体" w:cs="Arial"/>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5"/>
    <w:semiHidden/>
    <w:unhideWhenUsed/>
    <w:qFormat/>
    <w:uiPriority w:val="99"/>
    <w:pPr>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26"/>
    <w:qFormat/>
    <w:uiPriority w:val="0"/>
    <w:rPr>
      <w:rFonts w:ascii="宋体" w:hAnsi="Courier New" w:eastAsiaTheme="minorEastAsia" w:cstheme="minorBidi"/>
      <w:szCs w:val="22"/>
    </w:rPr>
  </w:style>
  <w:style w:type="paragraph" w:styleId="7">
    <w:name w:val="Date"/>
    <w:basedOn w:val="1"/>
    <w:next w:val="1"/>
    <w:link w:val="27"/>
    <w:qFormat/>
    <w:uiPriority w:val="0"/>
    <w:pPr>
      <w:adjustRightInd w:val="0"/>
      <w:spacing w:line="360" w:lineRule="atLeast"/>
      <w:textAlignment w:val="baseline"/>
    </w:pPr>
    <w:rPr>
      <w:rFonts w:ascii="宋体" w:cs="宋体"/>
      <w:kern w:val="0"/>
      <w:sz w:val="24"/>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3">
    <w:name w:val="Body Text 2"/>
    <w:basedOn w:val="1"/>
    <w:link w:val="29"/>
    <w:qFormat/>
    <w:uiPriority w:val="0"/>
    <w:pPr>
      <w:spacing w:after="120" w:line="480" w:lineRule="auto"/>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annotation subject"/>
    <w:basedOn w:val="4"/>
    <w:next w:val="4"/>
    <w:link w:val="30"/>
    <w:semiHidden/>
    <w:unhideWhenUsed/>
    <w:qFormat/>
    <w:uiPriority w:val="99"/>
    <w:rPr>
      <w:b/>
      <w:bCs/>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000FF" w:themeColor="hyperlink"/>
      <w:u w:val="single"/>
    </w:rPr>
  </w:style>
  <w:style w:type="character" w:styleId="20">
    <w:name w:val="annotation reference"/>
    <w:basedOn w:val="18"/>
    <w:semiHidden/>
    <w:unhideWhenUsed/>
    <w:qFormat/>
    <w:uiPriority w:val="99"/>
    <w:rPr>
      <w:sz w:val="21"/>
      <w:szCs w:val="21"/>
    </w:rPr>
  </w:style>
  <w:style w:type="character" w:customStyle="1" w:styleId="21">
    <w:name w:val="页眉 Char"/>
    <w:basedOn w:val="18"/>
    <w:link w:val="10"/>
    <w:qFormat/>
    <w:uiPriority w:val="99"/>
    <w:rPr>
      <w:sz w:val="18"/>
      <w:szCs w:val="18"/>
    </w:rPr>
  </w:style>
  <w:style w:type="character" w:customStyle="1" w:styleId="22">
    <w:name w:val="页脚 Char"/>
    <w:basedOn w:val="18"/>
    <w:link w:val="9"/>
    <w:qFormat/>
    <w:uiPriority w:val="99"/>
    <w:rPr>
      <w:sz w:val="18"/>
      <w:szCs w:val="18"/>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0"/>
    <w:rPr>
      <w:rFonts w:ascii="Arial" w:hAnsi="Arial" w:eastAsia="黑体" w:cs="Arial"/>
      <w:b/>
      <w:bCs/>
      <w:sz w:val="32"/>
      <w:szCs w:val="32"/>
    </w:rPr>
  </w:style>
  <w:style w:type="character" w:customStyle="1" w:styleId="25">
    <w:name w:val="批注文字 Char"/>
    <w:basedOn w:val="18"/>
    <w:link w:val="4"/>
    <w:semiHidden/>
    <w:qFormat/>
    <w:uiPriority w:val="99"/>
    <w:rPr>
      <w:rFonts w:ascii="Times New Roman" w:hAnsi="Times New Roman" w:eastAsia="宋体" w:cs="Times New Roman"/>
      <w:szCs w:val="21"/>
    </w:rPr>
  </w:style>
  <w:style w:type="character" w:customStyle="1" w:styleId="26">
    <w:name w:val="纯文本 Char"/>
    <w:basedOn w:val="18"/>
    <w:link w:val="6"/>
    <w:qFormat/>
    <w:uiPriority w:val="0"/>
    <w:rPr>
      <w:rFonts w:ascii="宋体" w:hAnsi="Courier New"/>
    </w:rPr>
  </w:style>
  <w:style w:type="character" w:customStyle="1" w:styleId="27">
    <w:name w:val="日期 Char"/>
    <w:basedOn w:val="18"/>
    <w:link w:val="7"/>
    <w:qFormat/>
    <w:uiPriority w:val="0"/>
    <w:rPr>
      <w:rFonts w:ascii="宋体" w:hAnsi="Times New Roman" w:eastAsia="宋体" w:cs="宋体"/>
      <w:kern w:val="0"/>
      <w:sz w:val="24"/>
      <w:szCs w:val="24"/>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正文文本 2 Char"/>
    <w:basedOn w:val="18"/>
    <w:link w:val="13"/>
    <w:qFormat/>
    <w:uiPriority w:val="0"/>
    <w:rPr>
      <w:rFonts w:ascii="Times New Roman" w:hAnsi="Times New Roman" w:eastAsia="宋体" w:cs="Times New Roman"/>
      <w:szCs w:val="21"/>
    </w:rPr>
  </w:style>
  <w:style w:type="character" w:customStyle="1" w:styleId="30">
    <w:name w:val="批注主题 Char"/>
    <w:basedOn w:val="25"/>
    <w:link w:val="15"/>
    <w:semiHidden/>
    <w:qFormat/>
    <w:uiPriority w:val="99"/>
    <w:rPr>
      <w:rFonts w:ascii="Times New Roman" w:hAnsi="Times New Roman" w:eastAsia="宋体" w:cs="Times New Roman"/>
      <w:b/>
      <w:bCs/>
      <w:szCs w:val="21"/>
    </w:rPr>
  </w:style>
  <w:style w:type="character" w:customStyle="1" w:styleId="31">
    <w:name w:val="纯文本 字符"/>
    <w:basedOn w:val="18"/>
    <w:semiHidden/>
    <w:qFormat/>
    <w:uiPriority w:val="99"/>
    <w:rPr>
      <w:rFonts w:hAnsi="Courier New" w:cs="Courier New" w:asciiTheme="minorEastAsia"/>
      <w:szCs w:val="21"/>
    </w:rPr>
  </w:style>
  <w:style w:type="paragraph" w:styleId="32">
    <w:name w:val="List Paragraph"/>
    <w:basedOn w:val="1"/>
    <w:qFormat/>
    <w:uiPriority w:val="34"/>
    <w:pPr>
      <w:ind w:firstLine="420" w:firstLineChars="200"/>
    </w:pPr>
  </w:style>
  <w:style w:type="paragraph" w:customStyle="1" w:styleId="33">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35">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6">
    <w:name w:val="qowt-font10-gbk"/>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Pages>
  <Words>407</Words>
  <Characters>2321</Characters>
  <Lines>19</Lines>
  <Paragraphs>5</Paragraphs>
  <TotalTime>1</TotalTime>
  <ScaleCrop>false</ScaleCrop>
  <LinksUpToDate>false</LinksUpToDate>
  <CharactersWithSpaces>2723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2021-12-02T07:10:00Z</dcterms:created>
  <dc:creator>赵璧</dc:creator>
  <cp:lastModifiedBy>ztb</cp:lastModifiedBy>
  <cp:lastPrinted>2022-01-05T06:14:00Z</cp:lastPrinted>
  <dcterms:modified xsi:type="dcterms:W3CDTF">2022-01-06T01:31:20Z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C88E154C5EBB4E42AD0BBF833D0B86A6</vt:lpwstr>
  </property>
</Properties>
</file>